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                    Semestr zimowy</w:t>
      </w:r>
    </w:p>
    <w:tbl>
      <w:tblPr>
        <w:tblStyle w:val="Tabela-Siatka"/>
        <w:tblW w:w="15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8"/>
      </w:tblGrid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1.Dokumentacja w pediatrii – Książeczka Zdrowia Dziecka, historia choroby, karta gorączkowa, ochrona danych osobowych w świetle obowiązujących przepisów. Organizacja i funkcjonowanie oddziału neonatologicznego i ogólnopediatrycznego.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2.Wywiad. Badanie podmiotowe i przedmiotowe. Ocena stanu ogólnego. Ocena przytomności (skala Glasgow), ocena nawiązywania kontaktu słowno-logicznego.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3. ABC badania fizykalnego w pediatrii (Zajęcia odbywają się w centrum Symulacji Medycznej).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4.Badanie: skóry i jej przydatków. Badanie obwodowych węzłów chłonnych. Semiotyka najczęstszych schorzeń objawiających się zmianami skórnymi i powiększeniem węzłów chłonnych u dzieci.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5.Badanie węzłów chłonnych. Limfadenopatie.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6.Badanie głowy. Ocena wielkości i kształtu (pojęcia mikrogłowia i wielkogłowia). Ocena wielkości ciemiączek. Badanie oczu. Ocena jamy ustnej i noso-gardła. Semiotyka schorzeń uszu, nosa i jamy ustnej. Rozwój uzębienia. Badanie szyi, gruczoł tarczowy. Owłosienie – rodzaje (typu niemowlęcego, dziecięcego, męskie i żeńskie).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7.Badanie narządu ruchu. Układ kostny: najczęstsze zaburzenia w budowie kręgosłupa (lordoza, kyfoza, skolioza) i klatki piersiowej, oraz kończyn dolnych (koślawość, szpotawość, skrót kończyny). Ocena postawy. Wady w zakresie stóp. Wady postawy u dzieci. Ocena ruchomości czynnej i biernej stawów. Badanie stawów biodrowych.  Ocena układu mięśniowego (napięcia i siły mięśniowej).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8.Klatka piersiowa. Badanie fizykalne klatki piersiowej: oglądanie, opukiwanie, osłuchiwanie płuc, wyznaczanie granic płuc. Semiotyka najczęstszych zaburzeń ze strony układu oddechowego: kaszel, duszność, sinica.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9.Badanie układu krążenia; osłuchiwanie tonów serca i opukiwanie granic serca. Pomiar ciśnienia krwi  i częstości akcji serca. Interpretacja wyników. Semiotyka najczęstszych zaburzeń układu krążenia. Fizjologiczne odrębności układu krążenia w wieku rozwojowym.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10.Zasady badania szczegółowego jamy brzusznej i układu moczowo-płciowego u dzieci. Odrębności rozwojowe układu moczowo-płciowego. Ocena wątroby i śledziony. Objawy otrzewnowe. Semiotyka schorzeń jamy brzusznej u dzieci: ból brzucha (ostry, przewlekły), wymioty, biegunka, zaparcie, wolny płyn w jamie otrzewnej, powiększenie narządów miąższowych. Odrębności chorób nerek u dzieci. Interpretacja podstawowych wyników badań laboratoryjnych.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11.Badanie neurologiczne, ocena nerwów czaszkowych, objawy oponowe.  Objawy wzmożonego ciśnienia śródczaszkowego. Zasady badania odruchów głębokich (ścięgnistych) fizjologicznych. Semiotyka schorzeń układu nerwowego.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12.Rozwój: Okres życia wewnątrzmacicznego. Czynniki wpływające na rozwój płodu. Okres niemowlęcy. Odruchy niemowlęce.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13. Dziecko w wieku przedszkolnym i szkolnym. Ocena norm wzrastania i rozwoju. Posługiwanie się siatkami centylowymi. Dokładna ocena anomalii rozwoju fizycznego w kolejnych etapach życia.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>14. Żywienie naturalne i sztuczne niemowląt. Podstawowe różnice w składzie mleka kobiecego i krowiego. Przeciwwskazania do karmienia piersią. Żywienie dzieci młodszych i starszych. Diety eliminacyjne. Zasady przygotowywania posiłków.</w:t>
            </w:r>
          </w:p>
        </w:tc>
      </w:tr>
      <w:tr>
        <w:trPr/>
        <w:tc>
          <w:tcPr>
            <w:tcW w:w="155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 xml:space="preserve">15.Samodzielne zbieranie wywiadu i przeprowadzenie badania fizykalnego. Opracowanie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shd w:fill="FFFFFF" w:val="clear"/>
              </w:rPr>
              <w:t>status praesens</w:t>
            </w:r>
            <w:r>
              <w:rPr>
                <w:rFonts w:ascii="Times New Roman" w:hAnsi="Times New Roman"/>
                <w:bCs/>
                <w:sz w:val="26"/>
                <w:szCs w:val="26"/>
                <w:shd w:fill="FFFFFF" w:val="clear"/>
              </w:rPr>
              <w:t xml:space="preserve"> (wersja próbna).</w:t>
            </w:r>
          </w:p>
        </w:tc>
      </w:tr>
    </w:tbl>
    <w:p>
      <w:pPr>
        <w:pStyle w:val="Normal"/>
        <w:spacing w:before="0" w:after="48"/>
        <w:rPr/>
      </w:pPr>
      <w:r>
        <w:rPr>
          <w:rFonts w:ascii="Times New Roman" w:hAnsi="Times New Roman"/>
          <w:b/>
          <w:sz w:val="24"/>
          <w:szCs w:val="24"/>
        </w:rPr>
        <w:t xml:space="preserve">Ćwiczenia                   </w:t>
      </w:r>
      <w:bookmarkStart w:id="0" w:name="__DdeLink__85_3450523233"/>
      <w:r>
        <w:rPr>
          <w:rFonts w:ascii="Times New Roman" w:hAnsi="Times New Roman"/>
          <w:b/>
          <w:sz w:val="24"/>
          <w:szCs w:val="24"/>
        </w:rPr>
        <w:t xml:space="preserve"> Semestr letni</w:t>
      </w:r>
      <w:bookmarkEnd w:id="0"/>
    </w:p>
    <w:tbl>
      <w:tblPr>
        <w:tblStyle w:val="Tabela-Siatka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46"/>
      </w:tblGrid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jc w:val="both"/>
              <w:rPr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Ocena stanu ogólnego noworodka (skala Apgar),  metody oceny stopnia dojrzałości.  Noworodek donoszony – fizjologia. Adaptacja noworodka do życia pozamacicznego. Odruchy niemowlęce.  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jc w:val="both"/>
              <w:rPr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 Patologia noworodka: noworodek wcześniaczy;  za mały do wieku płodowego; za duży do wieku płodowego; z ciąży mnogiej.  Urazy okołoporodowe. Badania przesiewowe noworodków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3. Szczepienia ochronne. Rodzaje szczepionek i sposób realizacji poszczególnych szczepień. Aktualnie obowiązujący kalendarz szczepień. Wskazania i przeciwwskazania do szczepień. Powikłania poszczepienne. Zgłaszanie odczynów poszczepiennych. Dokumentacja szczepień. 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4.Profilaktyka u dzieci (krzywica, suplementacja witaminą D3, witaminą K, wady postawy). Zakażenia wewnątrzszpitalne. Podstawowe zasady ich zapobiegania. Zalecenia epidemiologiczne w kontekście opieki zdrowotnej z uwagi na pandemię wirusem SARS-Cov-2.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>
                <w:rFonts w:asciiTheme="minorHAnsi" w:eastAsiaTheme="minorHAnsi" w:hAnsiTheme="minorHAnsi"/>
                <w:shd w:fill="auto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bCs/>
                <w:sz w:val="26"/>
                <w:szCs w:val="26"/>
                <w:shd w:fill="auto" w:val="clear"/>
              </w:rPr>
              <w:t>5.</w:t>
            </w:r>
            <w:r>
              <w:rPr>
                <w:rFonts w:asciiTheme="minorHAnsi" w:eastAsiaTheme="minorHAnsi" w:hAnsiTheme="minorHAnsi" w:ascii="Times New Roman" w:hAnsi="Times New Roman"/>
                <w:sz w:val="26"/>
                <w:szCs w:val="26"/>
                <w:shd w:fill="auto" w:val="clear"/>
              </w:rPr>
              <w:t xml:space="preserve"> Żywienie naturalne i sztuczne niemowląt. Podstawowe różnice w składzie mleka kobiecego i krowiego. Przeciwwskazania do karmienia piersią. Żywienie dzieci młodszych i dzieci starszych. Diety eliminacyjne. Zasady przygotowywania posiłków.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Zabiegi pielęgnacyjne niemowlęcia i małego dziecka. Kąpiel, toaleta, nawilżanie skóry, zapobieganie nadmiernemu przegrzaniu i ochłodzeniu ciała.  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>
                <w:rFonts w:asciiTheme="minorHAnsi" w:eastAsiaTheme="minorHAnsi" w:hAnsiTheme="minorHAnsi"/>
                <w:shd w:fill="auto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bCs/>
                <w:sz w:val="26"/>
                <w:szCs w:val="26"/>
                <w:shd w:fill="auto" w:val="clear"/>
              </w:rPr>
              <w:t xml:space="preserve">7. </w:t>
            </w:r>
            <w:r>
              <w:rPr>
                <w:rFonts w:asciiTheme="minorHAnsi" w:eastAsiaTheme="minorHAnsi" w:hAnsiTheme="minorHAnsi" w:ascii="Times New Roman" w:hAnsi="Times New Roman"/>
                <w:sz w:val="26"/>
                <w:szCs w:val="26"/>
                <w:shd w:fill="auto" w:val="clear"/>
              </w:rPr>
              <w:t>Podstawowe procedury i zabiegi medyczne w tym: pomiar temperatury ciała (powierzchownej oraz głębokiej), pomiar tętna, nieinwazyjny pomiar ciśnienia tętniczego, monitorowanie parametrów życiowych przy pomocy kardiomonitora, pulsoksymetria. Interpretacja wyników podstawowych badań laboratoryjnych.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8. Samodzielne zbieranie wywiadu i przeprowadzenie badania fizykalnego. Omówienie statusu próbnego. Opracowanie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status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praesens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(wersja na ocenę).</w:t>
            </w:r>
          </w:p>
        </w:tc>
      </w:tr>
      <w:tr>
        <w:trPr/>
        <w:tc>
          <w:tcPr>
            <w:tcW w:w="15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48"/>
              <w:rPr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9.Podsumowanie i ugruntowanie materiału z całego roku. Pytania i odpowiedzi dotyczące badania fizykalnego, wywiadu, oraz omawianych zagadnień. Zaliczenie zajęć w oparciu o wiadomości teoretyczne i umiejętności praktyczne.</w:t>
            </w:r>
          </w:p>
        </w:tc>
      </w:tr>
    </w:tbl>
    <w:p>
      <w:pPr>
        <w:pStyle w:val="Normal"/>
        <w:spacing w:before="0" w:after="48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409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e40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DocSecurity>0</DocSecurity>
  <Pages>2</Pages>
  <Words>600</Words>
  <Characters>4570</Characters>
  <CharactersWithSpaces>5197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2021-09-24T08:05:00Z</dcterms:created>
  <dc:creator>Gerard Pasternak</dc:creator>
  <dc:description/>
  <dc:language>pl-PL</dc:language>
  <cp:lastModifiedBy/>
  <dcterms:modified xsi:type="dcterms:W3CDTF">2021-10-07T09:45:33Z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