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Grupa…………………………………………        </w:t>
        <w:tab/>
        <w:tab/>
        <w:tab/>
        <w:tab/>
        <w:tab/>
        <w:t xml:space="preserve">Wrocław, ……………..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Imię i nazwisko studenta:</w:t>
        <w:tab/>
        <w:tab/>
        <w:tab/>
        <w:tab/>
        <w:tab/>
        <w:tab/>
        <w:t xml:space="preserve">Imię i nazwisko prowadzącego: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……………………………………………………</w:t>
        <w:tab/>
        <w:tab/>
        <w:t xml:space="preserve">         ……………………………………………….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Ćwiczenie nr 4.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Barwienia histologiczne. Barwienie H&amp;E, znakowanie cytoplazmy, jądra i organelli komórkowych.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Hematoksylina i eozyna: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Barwienie hematoksyliną i eozyną jest najczęściej stosowaną metodą barwienia przeglądowego </w:t>
        <w:br w:type="textWrapping"/>
        <w:t xml:space="preserve">w histologii. Elementy zasadochłonne (np. jądra komórkowe) barwią się na niebiesko, elementy </w:t>
        <w:br w:type="textWrapping"/>
        <w:t xml:space="preserve">kwasochłonne na czerwono.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Hematoksylina jest naturalnym barwnikiem pozyskiwanym z amerykańskiego drzewa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Erytroxylon campechianum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Używa się jej w postaci złożonych roztworów zawierających sole glinu, żelaza, chromu lub wolframu. Zawartość tych metali sprawia, że tkanka przyjmuje barwnik. Po zabarwieniu, należy preparaty długo płukać w bieżącej wodzie, gdyż dopiero po wypłukaniu uzyskuje się czysto niebieskie zabarwienie jąder komórkowych.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Eozyna jest bromową pochodną fluoresceiny. Jest to barwnik o właściwościach kwasowych, </w:t>
        <w:br w:type="textWrapping"/>
        <w:t xml:space="preserve">wykazujący silne powinowactwo do kwasochłonnych elementów komórki. Zajmuje też ważne miejsce </w:t>
        <w:br w:type="textWrapping"/>
        <w:t xml:space="preserve">w metodach barwienia hematologicznego jako składnik barwników Giemsy, May – Grünwalda, </w:t>
        <w:br w:type="textWrapping"/>
        <w:t xml:space="preserve">Wrighta.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Procedura barwienia: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Naklejone i odparafinowane skrawki najpierw należy nawadniać w szeregu alkoholowym; </w:t>
        <w:br w:type="textWrapping"/>
        <w:t xml:space="preserve">1. Umieścić preparaty komórkowe lub skrawki na 2-3 minuty w roztworze PBS (buforu fosforanowego);</w:t>
        <w:br w:type="textWrapping"/>
        <w:t xml:space="preserve">2. Barwić komórki/skrawki przez 1-1.5 minuty w roztworze hematoksyliny;</w:t>
        <w:br w:type="textWrapping"/>
        <w:t xml:space="preserve">3. Przebarwione komórki/skrawki odbarwiać przez 2-3 sek. w zakwaszonym alkoholu (0,25 ml HCl na 100ml alkoholu 70%); </w:t>
        <w:br w:type="textWrapping"/>
        <w:t xml:space="preserve">4. Spłukać preparat pod bieżącą wodą aż do uzyskania niebieskiego zabarwienia jąder </w:t>
        <w:br w:type="textWrapping"/>
        <w:t xml:space="preserve">komórkowych (kontrola pod mikroskopem lub do widocznej makroskopowo zmiany </w:t>
        <w:br w:type="textWrapping"/>
        <w:t xml:space="preserve">zabarwienia skrawka); </w:t>
        <w:br w:type="textWrapping"/>
        <w:t xml:space="preserve">5. Barwić w roztworze eozyny przez 3 min.; </w:t>
        <w:br w:type="textWrapping"/>
        <w:t xml:space="preserve">6. Preparaty komórkowe umieścić w wodzie destylowanej na 5 minut; </w:t>
        <w:br w:type="textWrapping"/>
        <w:t xml:space="preserve">8. Preparaty odwodnić, odwodnić w szeregu alkoholowym, wysuszyć i zamknąć w medium do zamykania preparatów (POD OPIEKĄ PROWADZĄCEGO, WYŁĄCZNIE POD DYGESTORIUM!!! ).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Katedra i Zakład Biologii Molekularnej i KomórkowejStrona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BIOLOGIA MEDYCZNA - Wydział Farmaceutyczny, Dietetyka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opka">
    <w:name w:val="footer"/>
    <w:basedOn w:val="Normalny"/>
    <w:link w:val="StopkaZnak"/>
    <w:uiPriority w:val="99"/>
    <w:unhideWhenUsed w:val="1"/>
    <w:rsid w:val="00A20743"/>
    <w:pPr>
      <w:tabs>
        <w:tab w:val="center" w:pos="4320"/>
        <w:tab w:val="right" w:pos="864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074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207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20743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A20743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20743"/>
    <w:rPr>
      <w:rFonts w:eastAsiaTheme="minorEastAsia"/>
    </w:rPr>
  </w:style>
  <w:style w:type="paragraph" w:styleId="Akapitzlist">
    <w:name w:val="List Paragraph"/>
    <w:basedOn w:val="Normalny"/>
    <w:uiPriority w:val="34"/>
    <w:qFormat w:val="1"/>
    <w:rsid w:val="00A20743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E00E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rsid w:val="00DB4F66"/>
    <w:pPr>
      <w:suppressAutoHyphens w:val="1"/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21e01mjjGx51OqivYksOsdS4Q==">AMUW2mWxHSX3P/dQZiAzf17L8h0xG0nOzTb/WB4v7HpaZUJlWVB72dE5bqHC+ZvDO9jPaph6s9a2re2c59ngQy/CXOGnb2mgP+ZDZlhpWwRaGR4F8ux8vrSniLs6jJJ1vwoU29k0jKkb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2021-10-19T10:29:00Z</dcterms:created>
  <dc:creator>Dagmara</dc:creator>
</cp:coreProperties>
</file>