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Grupa…………………………………………        </w:t>
        <w:tab/>
        <w:tab/>
        <w:tab/>
        <w:tab/>
        <w:tab/>
        <w:t xml:space="preserve">Wrocław, ……………..</w:t>
      </w:r>
    </w:p>
    <w:p w:rsidR="00000000" w:rsidDel="00000000" w:rsidP="00000000" w:rsidRDefault="00000000" w:rsidRPr="00000000" w14:paraId="0000000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Imię i nazwisko studenta:</w:t>
        <w:tab/>
        <w:tab/>
        <w:tab/>
        <w:tab/>
        <w:tab/>
        <w:tab/>
        <w:t xml:space="preserve">Imię i nazwisko prowadzącego:</w:t>
      </w:r>
    </w:p>
    <w:p w:rsidR="00000000" w:rsidDel="00000000" w:rsidP="00000000" w:rsidRDefault="00000000" w:rsidRPr="00000000" w14:paraId="0000000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tab/>
        <w:tab/>
        <w:t xml:space="preserve">         ……………………………………………….</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Ćwiczenie nr 6.</w:t>
      </w:r>
    </w:p>
    <w:p w:rsidR="00000000" w:rsidDel="00000000" w:rsidP="00000000" w:rsidRDefault="00000000" w:rsidRPr="00000000" w14:paraId="00000005">
      <w:pPr>
        <w:spacing w:after="20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Ocena wybranych parametrów metabolicznych komórki. </w:t>
        <w:br w:type="textWrapping"/>
        <w:t xml:space="preserve">Stres oksydacyjny.</w:t>
      </w:r>
    </w:p>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Zadanie 1. Ocena peroksydacji lipidów na podstawie pomiaru dwualdehydu malonowego (MDA) w osoczu</w:t>
      </w:r>
    </w:p>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360" w:lineRule="auto"/>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Patologiczne implikacje reakcji reaktywnych form tlenu (RFT) i stresu oksydacyjnego prowadzą do podwyższenia stężeń produktów peroksydacji lipidów oraz zmian aktywności enzymów chroniących przed RFT i stężeń niskocząsteczkowych antyoksydantów.</w:t>
      </w:r>
    </w:p>
    <w:p w:rsidR="00000000" w:rsidDel="00000000" w:rsidP="00000000" w:rsidRDefault="00000000" w:rsidRPr="00000000" w14:paraId="0000000A">
      <w:pPr>
        <w:spacing w:after="0" w:line="360" w:lineRule="auto"/>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Najbardziej znanym biologicznym procesem wolnorodnikowym jest peroksydacja lipidów, w której dochodzi do utleniania i degradacji wielonienasyconych kwasów tłuszczowych zawartych w lipidach błonowych, co w konsekwencji prowadzi do uszkodzenia komórki. Peroksydacja lipidów jest procesem lawinowym, zapewniającym ciągłą dostawę wolnych rodników, które inicjują następne reakcje peroksydacji. W wyniku procesu peroksydacji lipidów powstają krótkołańcuchowe kwasy tłuszczowe, alkohole, cykliczne endonadtlenki oraz aldehydy, w tym dwualdehyd malonowy (</w:t>
      </w:r>
      <w:r w:rsidDel="00000000" w:rsidR="00000000" w:rsidRPr="00000000">
        <w:rPr>
          <w:rFonts w:ascii="Times New Roman" w:cs="Times New Roman" w:eastAsia="Times New Roman" w:hAnsi="Times New Roman"/>
          <w:i w:val="1"/>
          <w:rtl w:val="0"/>
        </w:rPr>
        <w:t xml:space="preserve">malondialdehyde</w:t>
      </w:r>
      <w:r w:rsidDel="00000000" w:rsidR="00000000" w:rsidRPr="00000000">
        <w:rPr>
          <w:rFonts w:ascii="Times New Roman" w:cs="Times New Roman" w:eastAsia="Times New Roman" w:hAnsi="Times New Roman"/>
          <w:rtl w:val="0"/>
        </w:rPr>
        <w:t xml:space="preserve">- MDA) uważany za wskaźnik procesu peroksydacji lipidów. Produkty reakcji MDA z kwasem tiobarbiturowym (</w:t>
      </w:r>
      <w:r w:rsidDel="00000000" w:rsidR="00000000" w:rsidRPr="00000000">
        <w:rPr>
          <w:rFonts w:ascii="Times New Roman" w:cs="Times New Roman" w:eastAsia="Times New Roman" w:hAnsi="Times New Roman"/>
          <w:i w:val="1"/>
          <w:rtl w:val="0"/>
        </w:rPr>
        <w:t xml:space="preserve">thiobarbituric acid</w:t>
      </w:r>
      <w:r w:rsidDel="00000000" w:rsidR="00000000" w:rsidRPr="00000000">
        <w:rPr>
          <w:rFonts w:ascii="Times New Roman" w:cs="Times New Roman" w:eastAsia="Times New Roman" w:hAnsi="Times New Roman"/>
          <w:rtl w:val="0"/>
        </w:rPr>
        <w:t xml:space="preserve">- TBA) określa się jako produkty TBA-reaktywne i uważa za markery nieenzymatyczne procesu peroksydacji lipidów. Duże zainteresowanie wzbudza także ostatnio inny aldehyd- 4- hydroksynonenal (4-HNE), którego poziom może świadczyć o zaawansowaniu choroby Alzhaimera. Innym nieenzymatycznym markerem antyoksydacyjnym jest całkowity potencjał antyoksydacyjny (</w:t>
      </w:r>
      <w:r w:rsidDel="00000000" w:rsidR="00000000" w:rsidRPr="00000000">
        <w:rPr>
          <w:rFonts w:ascii="Times New Roman" w:cs="Times New Roman" w:eastAsia="Times New Roman" w:hAnsi="Times New Roman"/>
          <w:i w:val="1"/>
          <w:rtl w:val="0"/>
        </w:rPr>
        <w:t xml:space="preserve">Total antyoxidant status</w:t>
      </w:r>
      <w:r w:rsidDel="00000000" w:rsidR="00000000" w:rsidRPr="00000000">
        <w:rPr>
          <w:rFonts w:ascii="Times New Roman" w:cs="Times New Roman" w:eastAsia="Times New Roman" w:hAnsi="Times New Roman"/>
          <w:rtl w:val="0"/>
        </w:rPr>
        <w:t xml:space="preserve">- TAS), który odzwierciedla całkowitą pojemność bariery antyoksydacyjnej danej komórki, tkanki czy narządu. Na wartość TAS zasadniczy wpływ mają enzymy antyoskydacyjne, jak również stężenia niskocząsteczkowych antyoksydantów. Wydaje się, że wartość tego parametru może być miarą równowagi prooksydacyjno- antyoksydacyjnej organizmu, wskaźnikiem wyczerpania rezerw antyoksydacyjnych w wyniku wysiłku czy w przebiegu chorób oraz wskazaniem do spożywania większej ilości witamin antyoksydacyjnych.</w:t>
      </w:r>
    </w:p>
    <w:p w:rsidR="00000000" w:rsidDel="00000000" w:rsidP="00000000" w:rsidRDefault="00000000" w:rsidRPr="00000000" w14:paraId="0000000B">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Zasada oznaczania: reakcja z kwasem tiobarbiturowym</w:t>
      </w:r>
    </w:p>
    <w:p w:rsidR="00000000" w:rsidDel="00000000" w:rsidP="00000000" w:rsidRDefault="00000000" w:rsidRPr="00000000" w14:paraId="0000000D">
      <w:pPr>
        <w:spacing w:after="0" w:line="360" w:lineRule="auto"/>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Metoda oznaczania peroksydacji lipidów opiera się na reakcji aldehydu malonowego (MDA) z kwasem tiobarbiturowym (TBA). Podstawą jest powstawanie barwnego adduktu w reakcji pomiędzy TBA i niektórymi produktami peroksydacji lipidów w kwaśnym środowisku i w podwyższonej temperaturze.</w:t>
      </w:r>
    </w:p>
    <w:p w:rsidR="00000000" w:rsidDel="00000000" w:rsidP="00000000" w:rsidRDefault="00000000" w:rsidRPr="00000000" w14:paraId="0000000E">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Powstający addukt ma różowe zabarwienie, a jego stężenie oznacza się spektrofotometrycznie.</w:t>
      </w:r>
    </w:p>
    <w:p w:rsidR="00000000" w:rsidDel="00000000" w:rsidP="00000000" w:rsidRDefault="00000000" w:rsidRPr="00000000" w14:paraId="0000001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Materiał:</w:t>
      </w:r>
    </w:p>
    <w:p w:rsidR="00000000" w:rsidDel="00000000" w:rsidP="00000000" w:rsidRDefault="00000000" w:rsidRPr="00000000" w14:paraId="00000012">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Osocze krwi, homogenat tkanki</w:t>
      </w:r>
    </w:p>
    <w:p w:rsidR="00000000" w:rsidDel="00000000" w:rsidP="00000000" w:rsidRDefault="00000000" w:rsidRPr="00000000" w14:paraId="00000013">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Odczynniki:</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(m/v) roztwór kwasu trichlorooctowego (TCA) w 0,25 molowym roztworze HCl</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0,37% (m/v) roztwór kwasu tiobarbiturowego (TBA) w 0,25 molowym roztworze HCl</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Wykonanie: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4"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Przygotowujemy próby w probówkach typu eppendorf wg tabeli </w:t>
      </w:r>
    </w:p>
    <w:tbl>
      <w:tblPr>
        <w:tblStyle w:val="Table1"/>
        <w:tblW w:w="9062.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265"/>
        <w:gridCol w:w="2266"/>
        <w:gridCol w:w="2266"/>
        <w:tblGridChange w:id="0">
          <w:tblGrid>
            <w:gridCol w:w="2265"/>
            <w:gridCol w:w="2265"/>
            <w:gridCol w:w="2266"/>
            <w:gridCol w:w="2266"/>
          </w:tblGrid>
        </w:tblGridChange>
      </w:tblGrid>
      <w:tr>
        <w:trPr>
          <w:cantSplit w:val="0"/>
          <w:tblHeader w:val="0"/>
        </w:trPr>
        <w:tc>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1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Próba ślepa</w:t>
            </w:r>
          </w:p>
        </w:tc>
        <w:tc>
          <w:tcPr>
            <w:vAlign w:val="center"/>
          </w:tcPr>
          <w:p w:rsidR="00000000" w:rsidDel="00000000" w:rsidP="00000000" w:rsidRDefault="00000000" w:rsidRPr="00000000" w14:paraId="0000001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Próba badana prawidłowa</w:t>
            </w:r>
          </w:p>
        </w:tc>
        <w:tc>
          <w:tcPr>
            <w:vAlign w:val="center"/>
          </w:tcPr>
          <w:p w:rsidR="00000000" w:rsidDel="00000000" w:rsidP="00000000" w:rsidRDefault="00000000" w:rsidRPr="00000000" w14:paraId="0000001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Próba badana patologiczna</w:t>
            </w:r>
          </w:p>
        </w:tc>
      </w:tr>
      <w:tr>
        <w:trPr>
          <w:cantSplit w:val="0"/>
          <w:trHeight w:val="379" w:hRule="atLeast"/>
          <w:tblHeader w:val="0"/>
        </w:trPr>
        <w:tc>
          <w:tcPr>
            <w:vAlign w:val="center"/>
          </w:tcPr>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Odczynnik A</w:t>
            </w:r>
          </w:p>
        </w:tc>
        <w:tc>
          <w:tcPr>
            <w:vAlign w:val="center"/>
          </w:tcPr>
          <w:p w:rsidR="00000000" w:rsidDel="00000000" w:rsidP="00000000" w:rsidRDefault="00000000" w:rsidRPr="00000000" w14:paraId="0000001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500μl</w:t>
            </w:r>
          </w:p>
        </w:tc>
        <w:tc>
          <w:tcPr>
            <w:vAlign w:val="center"/>
          </w:tcPr>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500μl</w:t>
            </w:r>
          </w:p>
        </w:tc>
        <w:tc>
          <w:tcPr>
            <w:vAlign w:val="center"/>
          </w:tcPr>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500μl</w:t>
            </w:r>
          </w:p>
        </w:tc>
      </w:tr>
      <w:tr>
        <w:trPr>
          <w:cantSplit w:val="0"/>
          <w:trHeight w:val="414" w:hRule="atLeast"/>
          <w:tblHeader w:val="0"/>
        </w:trPr>
        <w:tc>
          <w:tcPr>
            <w:vAlign w:val="center"/>
          </w:tcPr>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Odczynnik B</w:t>
            </w:r>
          </w:p>
        </w:tc>
        <w:tc>
          <w:tcPr>
            <w:vAlign w:val="center"/>
          </w:tcPr>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500μl</w:t>
            </w:r>
          </w:p>
        </w:tc>
        <w:tc>
          <w:tcPr>
            <w:vAlign w:val="center"/>
          </w:tcPr>
          <w:p w:rsidR="00000000" w:rsidDel="00000000" w:rsidP="00000000" w:rsidRDefault="00000000" w:rsidRPr="00000000" w14:paraId="000000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500μl</w:t>
            </w:r>
          </w:p>
        </w:tc>
        <w:tc>
          <w:tcPr>
            <w:vAlign w:val="center"/>
          </w:tcPr>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500μl</w:t>
            </w:r>
          </w:p>
        </w:tc>
      </w:tr>
      <w:tr>
        <w:trPr>
          <w:cantSplit w:val="0"/>
          <w:trHeight w:val="350" w:hRule="atLeast"/>
          <w:tblHeader w:val="0"/>
        </w:trPr>
        <w:tc>
          <w:tcPr>
            <w:vAlign w:val="center"/>
          </w:tcPr>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b w:val="1"/>
                <w:vertAlign w:val="subscript"/>
                <w:rtl w:val="0"/>
              </w:rPr>
              <w:t xml:space="preserve">2</w:t>
            </w:r>
            <w:r w:rsidDel="00000000" w:rsidR="00000000" w:rsidRPr="00000000">
              <w:rPr>
                <w:rFonts w:ascii="Times New Roman" w:cs="Times New Roman" w:eastAsia="Times New Roman" w:hAnsi="Times New Roman"/>
                <w:b w:val="1"/>
                <w:sz w:val="24"/>
                <w:szCs w:val="24"/>
                <w:rtl w:val="0"/>
              </w:rPr>
              <w:t xml:space="preserve">O</w:t>
            </w:r>
          </w:p>
        </w:tc>
        <w:tc>
          <w:tcPr>
            <w:vAlign w:val="center"/>
          </w:tcPr>
          <w:p w:rsidR="00000000" w:rsidDel="00000000" w:rsidP="00000000" w:rsidRDefault="00000000" w:rsidRPr="00000000" w14:paraId="0000002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500μl</w:t>
            </w:r>
          </w:p>
        </w:tc>
        <w:tc>
          <w:tcPr>
            <w:vAlign w:val="center"/>
          </w:tcPr>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center"/>
          </w:tcPr>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Osocze/materiał biologiczny</w:t>
            </w:r>
          </w:p>
        </w:tc>
        <w:tc>
          <w:tcPr>
            <w:vAlign w:val="center"/>
          </w:tcPr>
          <w:p w:rsidR="00000000" w:rsidDel="00000000" w:rsidP="00000000" w:rsidRDefault="00000000" w:rsidRPr="00000000" w14:paraId="000000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02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500μl</w:t>
            </w:r>
          </w:p>
        </w:tc>
        <w:tc>
          <w:tcPr>
            <w:vAlign w:val="center"/>
          </w:tcPr>
          <w:p w:rsidR="00000000" w:rsidDel="00000000" w:rsidP="00000000" w:rsidRDefault="00000000" w:rsidRPr="00000000" w14:paraId="0000002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500μl</w:t>
            </w:r>
          </w:p>
        </w:tc>
      </w:tr>
    </w:tbl>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 wymieszaniu zamykamy probówki i ogrzewamy zawartość probówki w temp</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raturze 100°C (termoblok) przez 20 minut (w celu umieszczenia ich w termobloku oraz ich wyjęcia używamy pęsety).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UWAGA: PRZED INKUBACJĄ WIECZKO PROBÓWKI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PROWADZĄCY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PRZEKŁUWA SKALPELEM!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 ochłodzeniu zawartość prób przenosimy do czystych probówek typu eppendorf i wirujemy przez 5 minut w mini wirówce (1500xg)</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4"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 zwirowaniu mierzymy absorbancję supernatantu przy dł. fali 535 nm względem próby ślepej</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Obliczenia:</w:t>
      </w:r>
    </w:p>
    <w:p w:rsidR="00000000" w:rsidDel="00000000" w:rsidP="00000000" w:rsidRDefault="00000000" w:rsidRPr="00000000" w14:paraId="00000035">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Obliczamy stężenie dwualdehydu malonowego (MDA) w badanym preparacie na podstawie milimolowego współczynnika absorpcji ɛ=156 mmol</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·1·cm</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.Wynik podajemy w μmol/l.</w:t>
      </w:r>
    </w:p>
    <w:p w:rsidR="00000000" w:rsidDel="00000000" w:rsidP="00000000" w:rsidRDefault="00000000" w:rsidRPr="00000000" w14:paraId="00000036">
      <w:pPr>
        <w:rPr>
          <w:rFonts w:ascii="Times New Roman" w:cs="Times New Roman" w:eastAsia="Times New Roman" w:hAnsi="Times New Roman"/>
        </w:rPr>
      </w:pPr>
      <w:bookmarkStart w:colFirst="0" w:colLast="0" w:name="_heading=h.30j0zll" w:id="1"/>
      <w:bookmarkEnd w:id="1"/>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4"/>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Akapitzlist">
    <w:name w:val="List Paragraph"/>
    <w:basedOn w:val="Normalny"/>
    <w:uiPriority w:val="34"/>
    <w:qFormat w:val="1"/>
    <w:rsid w:val="00A04F20"/>
    <w:pPr>
      <w:ind w:left="720"/>
      <w:contextualSpacing w:val="1"/>
    </w:pPr>
  </w:style>
  <w:style w:type="table" w:styleId="Tabela-Siatka">
    <w:name w:val="Table Grid"/>
    <w:basedOn w:val="Standardowy"/>
    <w:uiPriority w:val="59"/>
    <w:rsid w:val="00AA67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nyWeb">
    <w:name w:val="Normal (Web)"/>
    <w:basedOn w:val="Normalny"/>
    <w:rsid w:val="00E74B35"/>
    <w:pPr>
      <w:suppressAutoHyphens w:val="1"/>
      <w:spacing w:after="280" w:before="280" w:line="240" w:lineRule="auto"/>
    </w:pPr>
    <w:rPr>
      <w:rFonts w:ascii="Times New Roman" w:cs="Times New Roman" w:eastAsia="Times New Roman" w:hAnsi="Times New Roman"/>
      <w:sz w:val="24"/>
      <w:szCs w:val="24"/>
      <w:lang w:eastAsia="zh-CN"/>
    </w:rPr>
  </w:style>
  <w:style w:type="paragraph" w:styleId="Normalny1-akapit" w:customStyle="1">
    <w:name w:val="Normalny 1-akapit"/>
    <w:basedOn w:val="Normalny"/>
    <w:link w:val="Normalny1-akapitZnak"/>
    <w:qFormat w:val="1"/>
    <w:rsid w:val="000C0C24"/>
    <w:pPr>
      <w:suppressAutoHyphens w:val="1"/>
      <w:autoSpaceDE w:val="0"/>
      <w:spacing w:after="0" w:before="120" w:line="360" w:lineRule="auto"/>
      <w:ind w:firstLine="709"/>
      <w:contextualSpacing w:val="1"/>
      <w:jc w:val="both"/>
    </w:pPr>
    <w:rPr>
      <w:rFonts w:ascii="Times New Roman" w:cs="Times New Roman" w:eastAsia="TimesNewRoman" w:hAnsi="Times New Roman"/>
      <w:kern w:val="1"/>
      <w:sz w:val="24"/>
      <w:szCs w:val="24"/>
      <w:lang w:bidi="hi-IN" w:eastAsia="hi-IN"/>
    </w:rPr>
  </w:style>
  <w:style w:type="character" w:styleId="Normalny1-akapitZnak" w:customStyle="1">
    <w:name w:val="Normalny 1-akapit Znak"/>
    <w:link w:val="Normalny1-akapit"/>
    <w:rsid w:val="000C0C24"/>
    <w:rPr>
      <w:rFonts w:ascii="Times New Roman" w:cs="Times New Roman" w:eastAsia="TimesNewRoman" w:hAnsi="Times New Roman"/>
      <w:kern w:val="1"/>
      <w:sz w:val="24"/>
      <w:szCs w:val="24"/>
      <w:lang w:bidi="hi-IN" w:eastAsia="hi-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1DLI7pDhAqqzVZMbLR/AG5ObiQ==">AMUW2mVlx/xZ722Vd+VKBL4thIfRykWz9GqtXMMu7tTRJMwFhT8WSXzYDmNfa846/nVQvGFyDtnxGslQtx2srdErn1qNDOfqVX6+bZT1S7qiM2b3FguM3ZgHqzjKiQQc/wNn+1kCKVAg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2021-11-15T12:35:00Z</dcterms:created>
  <dc:creator>Anna</dc:creator>
</cp:coreProperties>
</file>