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243"/>
        <w:gridCol w:w="3262"/>
        <w:gridCol w:w="992"/>
        <w:gridCol w:w="3261"/>
        <w:gridCol w:w="992"/>
      </w:tblGrid>
      <w:tr w:rsidR="00C57721" w:rsidRPr="00C94C19" w:rsidTr="00824E68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bookmarkStart w:id="0" w:name="_GoBack"/>
            <w:bookmarkEnd w:id="0"/>
            <w:r w:rsidRPr="00C94C19">
              <w:br w:type="page"/>
            </w:r>
            <w:r w:rsidRPr="00C94C19">
              <w:rPr>
                <w:rFonts w:eastAsia="Times New Roman"/>
                <w:szCs w:val="24"/>
                <w:lang w:eastAsia="pl-PL"/>
              </w:rPr>
              <w:t xml:space="preserve">Nazwa </w:t>
            </w:r>
            <w:r w:rsidRPr="00C94C19">
              <w:rPr>
                <w:rFonts w:eastAsia="Times New Roman"/>
                <w:szCs w:val="24"/>
                <w:lang w:eastAsia="pl-PL"/>
              </w:rPr>
              <w:br/>
              <w:t>i symbol jednostki</w:t>
            </w:r>
          </w:p>
        </w:tc>
        <w:tc>
          <w:tcPr>
            <w:tcW w:w="75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21" w:rsidRPr="00C94C19" w:rsidRDefault="00C57721" w:rsidP="00824E68">
            <w:pPr>
              <w:pStyle w:val="Nagwek3"/>
              <w:rPr>
                <w:rFonts w:eastAsia="Times New Roman"/>
                <w:lang w:eastAsia="pl-PL"/>
              </w:rPr>
            </w:pPr>
            <w:bookmarkStart w:id="1" w:name="_Toc430695239"/>
            <w:bookmarkStart w:id="2" w:name="_Toc107798580"/>
            <w:r w:rsidRPr="00C94C19">
              <w:rPr>
                <w:rFonts w:eastAsia="Times New Roman"/>
                <w:lang w:eastAsia="pl-PL"/>
              </w:rPr>
              <w:t xml:space="preserve">INSPEKTORAT SPRAW OBRONNYCH </w:t>
            </w:r>
            <w:r w:rsidRPr="00C94C19">
              <w:rPr>
                <w:rFonts w:eastAsia="Times New Roman"/>
                <w:lang w:eastAsia="pl-PL"/>
              </w:rPr>
              <w:br/>
              <w:t>I BEZPIECZEŃSTWA INFORMACJI</w:t>
            </w:r>
            <w:bookmarkEnd w:id="1"/>
            <w:bookmarkEnd w:id="2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hideMark/>
          </w:tcPr>
          <w:p w:rsidR="00C57721" w:rsidRPr="00C94C19" w:rsidRDefault="00C57721" w:rsidP="00824E68">
            <w:pPr>
              <w:snapToGrid w:val="0"/>
              <w:spacing w:before="120" w:after="120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b/>
                <w:sz w:val="26"/>
                <w:szCs w:val="26"/>
                <w:lang w:eastAsia="pl-PL"/>
              </w:rPr>
              <w:t> ROI</w:t>
            </w:r>
          </w:p>
        </w:tc>
      </w:tr>
      <w:tr w:rsidR="00C57721" w:rsidRPr="00C94C19" w:rsidTr="00824E68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 xml:space="preserve">Jednostka </w:t>
            </w:r>
            <w:r w:rsidRPr="00C94C19">
              <w:rPr>
                <w:rFonts w:eastAsia="Times New Roman"/>
                <w:szCs w:val="24"/>
                <w:lang w:eastAsia="pl-PL"/>
              </w:rPr>
              <w:br/>
              <w:t>nadrzędna</w:t>
            </w:r>
          </w:p>
        </w:tc>
        <w:tc>
          <w:tcPr>
            <w:tcW w:w="4254" w:type="dxa"/>
            <w:gridSpan w:val="2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Podległość formalna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Podległość merytoryczna</w:t>
            </w:r>
          </w:p>
        </w:tc>
      </w:tr>
      <w:tr w:rsidR="00C57721" w:rsidRPr="00C94C19" w:rsidTr="00824E68">
        <w:trPr>
          <w:trHeight w:val="376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57721" w:rsidRPr="00C94C19" w:rsidRDefault="00C57721" w:rsidP="00824E68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Rektor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outset" w:sz="6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R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Rektor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outset" w:sz="6" w:space="0" w:color="auto"/>
            </w:tcBorders>
            <w:hideMark/>
          </w:tcPr>
          <w:p w:rsidR="00C57721" w:rsidRPr="00C94C19" w:rsidRDefault="00C57721" w:rsidP="00824E68">
            <w:pPr>
              <w:snapToGrid w:val="0"/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R</w:t>
            </w:r>
          </w:p>
        </w:tc>
      </w:tr>
      <w:tr w:rsidR="00C57721" w:rsidRPr="00C94C19" w:rsidTr="00824E68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 xml:space="preserve">Jednostki </w:t>
            </w:r>
            <w:r w:rsidRPr="00C94C19">
              <w:rPr>
                <w:rFonts w:eastAsia="Times New Roman"/>
                <w:szCs w:val="24"/>
                <w:lang w:eastAsia="pl-PL"/>
              </w:rPr>
              <w:br/>
              <w:t>podległe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Podległość formalna</w:t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double" w:sz="4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Podległość merytoryczna</w:t>
            </w:r>
          </w:p>
        </w:tc>
      </w:tr>
      <w:tr w:rsidR="00C57721" w:rsidRPr="00C94C19" w:rsidTr="00824E68">
        <w:trPr>
          <w:trHeight w:val="319"/>
        </w:trPr>
        <w:tc>
          <w:tcPr>
            <w:tcW w:w="1243" w:type="dxa"/>
            <w:vMerge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C57721" w:rsidRPr="00C94C19" w:rsidRDefault="00C57721" w:rsidP="00824E68">
            <w:pPr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3262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outset" w:sz="6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outset" w:sz="6" w:space="0" w:color="auto"/>
            </w:tcBorders>
            <w:hideMark/>
          </w:tcPr>
          <w:p w:rsidR="00C57721" w:rsidRPr="00C94C19" w:rsidRDefault="00C57721" w:rsidP="00824E68">
            <w:pPr>
              <w:snapToGrid w:val="0"/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  <w:tr w:rsidR="00C57721" w:rsidRPr="00C94C19" w:rsidTr="00824E68">
        <w:tc>
          <w:tcPr>
            <w:tcW w:w="97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  <w:tr w:rsidR="00C57721" w:rsidRPr="00C94C19" w:rsidTr="00824E68">
        <w:tc>
          <w:tcPr>
            <w:tcW w:w="975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Cel działalności</w:t>
            </w:r>
          </w:p>
        </w:tc>
      </w:tr>
      <w:tr w:rsidR="00C57721" w:rsidRPr="00C94C19" w:rsidTr="00824E68">
        <w:trPr>
          <w:trHeight w:val="1414"/>
        </w:trPr>
        <w:tc>
          <w:tcPr>
            <w:tcW w:w="975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721" w:rsidRPr="00C94C19" w:rsidRDefault="00C57721" w:rsidP="00C57721">
            <w:pPr>
              <w:pStyle w:val="Akapitzlist"/>
              <w:numPr>
                <w:ilvl w:val="0"/>
                <w:numId w:val="5"/>
              </w:numPr>
              <w:spacing w:line="276" w:lineRule="auto"/>
              <w:ind w:left="306" w:hanging="284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kern w:val="2"/>
                <w:szCs w:val="24"/>
                <w:lang w:eastAsia="ar-SA"/>
              </w:rPr>
              <w:t>Tworzenie i utrzymanie warunków do właściwego funkcjonowania Uniwersytetu w sytuacjach kryzysowych, zewnętrznego zagrożenia bezpieczeństwa państwa i w czasie wojny.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5"/>
              </w:numPr>
              <w:autoSpaceDN w:val="0"/>
              <w:spacing w:line="276" w:lineRule="auto"/>
              <w:ind w:left="306" w:hanging="284"/>
              <w:textAlignment w:val="baseline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Zapewnienie bezpieczeństwa informacji niejawnych, danych osobowych oraz informacji istotnych 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br/>
              <w:t>z punktu widzenia interesów Uczelni.</w:t>
            </w:r>
          </w:p>
        </w:tc>
      </w:tr>
      <w:tr w:rsidR="00C57721" w:rsidRPr="00C94C19" w:rsidTr="00824E68">
        <w:trPr>
          <w:trHeight w:val="279"/>
        </w:trPr>
        <w:tc>
          <w:tcPr>
            <w:tcW w:w="975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57721" w:rsidRPr="00C94C19" w:rsidRDefault="00C57721" w:rsidP="00824E68">
            <w:pPr>
              <w:spacing w:before="100" w:beforeAutospacing="1" w:after="100" w:afterAutospacing="1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Kluczowe zadania</w:t>
            </w:r>
          </w:p>
        </w:tc>
      </w:tr>
      <w:tr w:rsidR="00C57721" w:rsidRPr="00C94C19" w:rsidTr="00824E68">
        <w:trPr>
          <w:trHeight w:val="5351"/>
        </w:trPr>
        <w:tc>
          <w:tcPr>
            <w:tcW w:w="9750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721" w:rsidRPr="00C94C19" w:rsidRDefault="00C57721" w:rsidP="00824E68">
            <w:p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b/>
                <w:szCs w:val="24"/>
                <w:lang w:eastAsia="pl-PL"/>
              </w:rPr>
              <w:t>W zakresie zarządzania kryzysowego: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Organizacja i zapewnienie właściwego funkcjonowania Zespołu Zarządzania Kryzysowego Uniwersytetu.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Tworzenie dokumentów w zakresie zarządzania kryzysowego oraz ustalanie procedur zarządzania 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br/>
              <w:t>i ich uruchamiania w sytuacjach kryzysowych.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Identyfikowanie </w:t>
            </w:r>
            <w:proofErr w:type="spellStart"/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ryzyk</w:t>
            </w:r>
            <w:proofErr w:type="spellEnd"/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 i wdrażanie działań zapobiegających sytuacjom kryzysowym.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1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Gromadzenie informacji o istotnych zagrożeniach oraz środkach zapobiegania i przeciwdziałania sytuacjom kryzysowym.</w:t>
            </w:r>
          </w:p>
          <w:p w:rsidR="00C57721" w:rsidRPr="00C94C19" w:rsidRDefault="00C57721" w:rsidP="00824E68">
            <w:pPr>
              <w:spacing w:line="276" w:lineRule="auto"/>
              <w:jc w:val="both"/>
              <w:rPr>
                <w:rFonts w:eastAsia="Times New Roman"/>
                <w:b/>
                <w:sz w:val="10"/>
                <w:szCs w:val="10"/>
                <w:lang w:eastAsia="pl-PL"/>
              </w:rPr>
            </w:pPr>
          </w:p>
          <w:p w:rsidR="00C57721" w:rsidRPr="00C94C19" w:rsidRDefault="00C57721" w:rsidP="00824E68">
            <w:p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b/>
                <w:szCs w:val="24"/>
                <w:lang w:eastAsia="pl-PL"/>
              </w:rPr>
              <w:t>W zakresie spraw obronnych i obrony cywilnej: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Opracowywanie i aktualizowanie Planu Operacyjnego Uniwersytetu w warunkach zewnętrznego zagrożenia bezpieczeństwa państwa i w czasie wojny.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Koordynacja działań w zakresie realizacji zadań operacyjnych oraz przedsięwzięć wynikających 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br/>
              <w:t>z Planu Operacyjnego Uniwersytetu Medycznego.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Opracowanie i wdrażanie Planu Obrony Cywilnej Uniwersytetu Medycznego.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Organizacja i zapewnienie właściwego funkcjonowania systemu Stałego Dyżuru Uniwersytetu.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Przeprowadzanie okresowych i rocznych analiz oraz ocen stanu właściwego przygotowania Uniwersytetu do realizacji zadań w zakresie obrony cywilnej.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Podejmowanie działań w kierunku przygotowania techniczno-organizacyjnego Uniwersytetu 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br/>
              <w:t>w celu udzielania pomocy poszkodowanym na wypadek nadzwyczajnych zagrożeń, do czasu przejęcia akcji ratowniczej przez wyspecjalizowane służby.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pacing w:val="-4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pacing w:val="-4"/>
                <w:szCs w:val="24"/>
                <w:lang w:eastAsia="pl-PL"/>
              </w:rPr>
              <w:t>Planowanie, organizowanie i prowadzenie szkoleń w zakresie spraw obronnych i obrony cywilnej.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2"/>
              </w:numPr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Prowadzenie dokumentacji i sprawozdawczości związanej ze sprawami obronnymi i zadaniami obrony cywilnej w Uczelni.</w:t>
            </w:r>
          </w:p>
          <w:p w:rsidR="00C57721" w:rsidRPr="00C94C19" w:rsidRDefault="00C57721" w:rsidP="00824E68">
            <w:pPr>
              <w:pStyle w:val="Akapitzlist"/>
              <w:shd w:val="clear" w:color="auto" w:fill="auto"/>
              <w:spacing w:before="0" w:line="276" w:lineRule="auto"/>
              <w:ind w:left="360" w:right="0"/>
              <w:rPr>
                <w:rFonts w:eastAsia="Times New Roman"/>
                <w:color w:val="auto"/>
                <w:sz w:val="10"/>
                <w:szCs w:val="10"/>
                <w:lang w:eastAsia="pl-PL"/>
              </w:rPr>
            </w:pPr>
          </w:p>
          <w:p w:rsidR="00C57721" w:rsidRPr="00C94C19" w:rsidRDefault="00C57721" w:rsidP="00824E68">
            <w:pPr>
              <w:spacing w:line="280" w:lineRule="exact"/>
              <w:jc w:val="both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b/>
                <w:szCs w:val="24"/>
                <w:lang w:eastAsia="pl-PL"/>
              </w:rPr>
              <w:t>W zakresie bezpieczeństwa informacji: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3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Arial"/>
                <w:color w:val="auto"/>
                <w:spacing w:val="-4"/>
                <w:kern w:val="2"/>
                <w:szCs w:val="24"/>
                <w:lang w:eastAsia="ar-SA"/>
              </w:rPr>
              <w:t>Prowadzenie wykazu stanowisk oraz osób dopuszczonych do pracy z dostępem do informacji niejawnych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3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Organizacja systemu ochrony informacji niejawnych, w tym o</w:t>
            </w:r>
            <w:r w:rsidRPr="00C94C19">
              <w:rPr>
                <w:rFonts w:eastAsia="Arial"/>
                <w:color w:val="auto"/>
                <w:spacing w:val="-4"/>
                <w:kern w:val="2"/>
                <w:szCs w:val="24"/>
                <w:lang w:eastAsia="ar-SA"/>
              </w:rPr>
              <w:t xml:space="preserve">pracowywanie, wdrażanie </w:t>
            </w:r>
            <w:r w:rsidRPr="00C94C19">
              <w:rPr>
                <w:rFonts w:eastAsia="Arial"/>
                <w:color w:val="auto"/>
                <w:spacing w:val="-4"/>
                <w:kern w:val="2"/>
                <w:szCs w:val="24"/>
                <w:lang w:eastAsia="ar-SA"/>
              </w:rPr>
              <w:br/>
              <w:t>i aktualizowanie planu ochrony informacji niejawnych.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3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lastRenderedPageBreak/>
              <w:t xml:space="preserve">Zarządzanie ryzykiem bezpieczeństwa informacji niejawnych. 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3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Prowadzenie okresowych kontroli w zakresie przestrzegania przepisów i stosowania zabezpieczeń dotyczących informacji niejawnych, w tym sprawowanie nadzoru nad ochroną i zabezpieczeniem systemów teleinformatycznych do przetwarzania informacji niejawnych.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3"/>
              </w:numPr>
              <w:shd w:val="clear" w:color="auto" w:fill="auto"/>
              <w:spacing w:before="0" w:line="280" w:lineRule="exact"/>
              <w:ind w:left="360" w:right="0"/>
              <w:rPr>
                <w:rFonts w:eastAsia="Arial"/>
                <w:color w:val="auto"/>
                <w:spacing w:val="-4"/>
                <w:kern w:val="2"/>
                <w:szCs w:val="24"/>
                <w:lang w:eastAsia="ar-SA"/>
              </w:rPr>
            </w:pPr>
            <w:r w:rsidRPr="00C94C19">
              <w:rPr>
                <w:rFonts w:eastAsia="Times New Roman"/>
                <w:color w:val="auto"/>
                <w:spacing w:val="-2"/>
                <w:szCs w:val="24"/>
                <w:lang w:eastAsia="pl-PL"/>
              </w:rPr>
              <w:t>Planowanie, organizowanie i prowadzenie szkoleń z zakresu ochrony informacji niejawnych.</w:t>
            </w:r>
          </w:p>
          <w:p w:rsidR="00C57721" w:rsidRDefault="00C57721" w:rsidP="00C57721">
            <w:pPr>
              <w:pStyle w:val="Akapitzlist"/>
              <w:numPr>
                <w:ilvl w:val="0"/>
                <w:numId w:val="3"/>
              </w:numPr>
              <w:shd w:val="clear" w:color="auto" w:fill="auto"/>
              <w:spacing w:before="0" w:line="280" w:lineRule="exact"/>
              <w:ind w:left="360" w:right="0"/>
              <w:rPr>
                <w:rFonts w:eastAsia="Arial"/>
                <w:color w:val="auto"/>
                <w:spacing w:val="-4"/>
                <w:kern w:val="2"/>
                <w:szCs w:val="24"/>
                <w:lang w:eastAsia="ar-SA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Opracowywanie procedur wewnętrznych i instrukcji w zakresie ochrony informacji niejawnych, </w:t>
            </w:r>
            <w:r w:rsidRPr="00C94C19">
              <w:rPr>
                <w:rFonts w:eastAsia="Arial"/>
                <w:color w:val="auto"/>
                <w:spacing w:val="-4"/>
                <w:kern w:val="2"/>
                <w:szCs w:val="24"/>
                <w:lang w:eastAsia="ar-SA"/>
              </w:rPr>
              <w:t>w tym procedury przetwarzania informacji o klauzuli „poufne” i „zastrzeżone” oraz nadzorowanie ich realizacji.</w:t>
            </w:r>
          </w:p>
          <w:p w:rsidR="002A59BF" w:rsidRPr="00C94C19" w:rsidRDefault="002A59BF" w:rsidP="00C57721">
            <w:pPr>
              <w:pStyle w:val="Akapitzlist"/>
              <w:numPr>
                <w:ilvl w:val="0"/>
                <w:numId w:val="3"/>
              </w:numPr>
              <w:shd w:val="clear" w:color="auto" w:fill="auto"/>
              <w:spacing w:before="0" w:line="280" w:lineRule="exact"/>
              <w:ind w:left="360" w:right="0"/>
              <w:rPr>
                <w:rFonts w:eastAsia="Arial"/>
                <w:color w:val="auto"/>
                <w:spacing w:val="-4"/>
                <w:kern w:val="2"/>
                <w:szCs w:val="24"/>
                <w:lang w:eastAsia="ar-SA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Wskazywanie kierunków działań naprawczych oraz minimalizujących przesłanki do powstawania zdarzeń negatywnych w obszarze bezpieczeństwa informacji.</w:t>
            </w:r>
          </w:p>
          <w:p w:rsidR="00C57721" w:rsidRPr="00C94C19" w:rsidRDefault="00C57721" w:rsidP="00824E68">
            <w:pPr>
              <w:spacing w:line="280" w:lineRule="exact"/>
              <w:rPr>
                <w:rFonts w:eastAsia="Times New Roman"/>
                <w:szCs w:val="24"/>
                <w:lang w:eastAsia="pl-PL"/>
              </w:rPr>
            </w:pPr>
          </w:p>
          <w:p w:rsidR="00C57721" w:rsidRPr="00C94C19" w:rsidRDefault="00C57721" w:rsidP="00824E68">
            <w:pPr>
              <w:spacing w:line="280" w:lineRule="exact"/>
              <w:rPr>
                <w:rFonts w:eastAsia="Times New Roman"/>
                <w:b/>
                <w:szCs w:val="24"/>
                <w:lang w:eastAsia="pl-PL"/>
              </w:rPr>
            </w:pPr>
            <w:r w:rsidRPr="00C94C19">
              <w:rPr>
                <w:rFonts w:eastAsia="Times New Roman"/>
                <w:b/>
                <w:szCs w:val="24"/>
                <w:lang w:eastAsia="pl-PL"/>
              </w:rPr>
              <w:t>W zakresie ochrony danych osobowych: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80" w:lineRule="exact"/>
              <w:ind w:left="426" w:right="0" w:hanging="426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Tworzenie warunków i nadzór nad bezpieczeństwem danych osobowych w Uniwersytecie zgodnie 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br/>
              <w:t>z aktualnie obowiązującymi przepisami o ochronie danych osobowych, w tym informowanie władz Uniwersytetu, podmiotów przetwarzających oraz pracowników o obowiązkach spoczywających na nich na mocy obowiązujących przepisów, a także doradzanie we wszelkich kwestiach związanych z przetwarzaniem danych osobowych.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Ocena i monitorowanie skuteczności działania wdrożonych środków organizacyjnych i technicznych w zakresie ochrony danych osobowych, w tym prowadzenie audytów w tym zakresie.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Inicjowanie i podejmowanie przedsięwzięć w zakresie doskonalenia ochrony danych osobowych 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br/>
              <w:t>w Uniwersytecie, w tym prowadzenie działań zwiększających świadomość w obszarze przetwarzania danych osobowych.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Pełnienie funkcji punktu kontaktowego w sprawach związanych z przetwarzaniem danych osobowych oraz wykonywaniem praw przysługujących osobom, których dane dotyczą.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6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Współpraca, prowadzenie konsultacji oraz pełnienie funkcji punktu kontaktowego dla organu nadzorczego.</w:t>
            </w:r>
          </w:p>
          <w:p w:rsidR="00C57721" w:rsidRPr="00C94C19" w:rsidRDefault="00C57721" w:rsidP="00824E68">
            <w:pPr>
              <w:spacing w:line="280" w:lineRule="exact"/>
              <w:ind w:left="360" w:hanging="360"/>
              <w:contextualSpacing/>
              <w:jc w:val="both"/>
              <w:rPr>
                <w:rFonts w:eastAsia="Arial"/>
                <w:spacing w:val="-4"/>
                <w:kern w:val="2"/>
                <w:szCs w:val="24"/>
                <w:lang w:eastAsia="ar-SA"/>
              </w:rPr>
            </w:pPr>
          </w:p>
          <w:p w:rsidR="00C57721" w:rsidRPr="00C94C19" w:rsidRDefault="00C57721" w:rsidP="00824E68">
            <w:pPr>
              <w:spacing w:line="280" w:lineRule="exact"/>
              <w:ind w:left="360" w:hanging="360"/>
              <w:contextualSpacing/>
              <w:jc w:val="both"/>
              <w:rPr>
                <w:rFonts w:eastAsia="Arial"/>
                <w:b/>
                <w:spacing w:val="-4"/>
                <w:kern w:val="2"/>
                <w:szCs w:val="24"/>
                <w:lang w:eastAsia="ar-SA"/>
              </w:rPr>
            </w:pPr>
            <w:r w:rsidRPr="00C94C19">
              <w:rPr>
                <w:rFonts w:eastAsia="Arial"/>
                <w:b/>
                <w:spacing w:val="-4"/>
                <w:kern w:val="2"/>
                <w:szCs w:val="24"/>
                <w:lang w:eastAsia="ar-SA"/>
              </w:rPr>
              <w:t>W zakresie funkcjonowania kancelarii niejawnej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pacing w:val="-4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pacing w:val="-4"/>
                <w:szCs w:val="24"/>
                <w:lang w:eastAsia="pl-PL"/>
              </w:rPr>
              <w:t>Zapewnienie bezpieczeństwa fizycznego materiałom i dokumentom zawierającym informacje niejawne i inne tajemnice ustawowo chronione, związane z przetwarzaniem informacji niejawnych.</w:t>
            </w:r>
          </w:p>
          <w:p w:rsidR="00C57721" w:rsidRPr="00C94C19" w:rsidRDefault="00C57721" w:rsidP="00C57721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Dokumentowanie, kontrola obiegu i archiwizacja dokumentów niejawnych.</w:t>
            </w:r>
          </w:p>
          <w:p w:rsidR="00C57721" w:rsidRPr="006346F6" w:rsidRDefault="00C57721" w:rsidP="006346F6">
            <w:pPr>
              <w:pStyle w:val="Akapitzlist"/>
              <w:numPr>
                <w:ilvl w:val="0"/>
                <w:numId w:val="4"/>
              </w:numPr>
              <w:shd w:val="clear" w:color="auto" w:fill="auto"/>
              <w:spacing w:before="0" w:line="280" w:lineRule="exact"/>
              <w:ind w:left="360" w:right="0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pacing w:val="-2"/>
                <w:szCs w:val="24"/>
                <w:lang w:eastAsia="pl-PL"/>
              </w:rPr>
              <w:t>Ewidencjonowanie i przechowywanie materiałów i dokumentów zawierających informacje niejawne, u</w:t>
            </w: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wierzytelnianie dokumentów niejawnych.</w:t>
            </w:r>
          </w:p>
          <w:p w:rsidR="00C57721" w:rsidRPr="00C94C19" w:rsidRDefault="00C57721" w:rsidP="00824E68">
            <w:pPr>
              <w:autoSpaceDN w:val="0"/>
              <w:spacing w:before="100" w:beforeAutospacing="1" w:after="100" w:afterAutospacing="1"/>
              <w:ind w:left="360"/>
              <w:textAlignment w:val="baseline"/>
              <w:rPr>
                <w:rFonts w:eastAsia="Times New Roman"/>
                <w:szCs w:val="24"/>
                <w:lang w:eastAsia="pl-PL"/>
              </w:rPr>
            </w:pPr>
            <w:r w:rsidRPr="00C94C19">
              <w:rPr>
                <w:rFonts w:eastAsia="Times New Roman"/>
                <w:szCs w:val="24"/>
                <w:lang w:eastAsia="pl-PL"/>
              </w:rPr>
              <w:t> </w:t>
            </w:r>
          </w:p>
        </w:tc>
      </w:tr>
    </w:tbl>
    <w:p w:rsidR="00777428" w:rsidRDefault="00777428"/>
    <w:sectPr w:rsidR="00777428" w:rsidSect="006D7B0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D5" w:rsidRDefault="005C33D5" w:rsidP="006D7B03">
      <w:r>
        <w:separator/>
      </w:r>
    </w:p>
  </w:endnote>
  <w:endnote w:type="continuationSeparator" w:id="0">
    <w:p w:rsidR="005C33D5" w:rsidRDefault="005C33D5" w:rsidP="006D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D5" w:rsidRDefault="005C33D5" w:rsidP="006D7B03">
      <w:r>
        <w:separator/>
      </w:r>
    </w:p>
  </w:footnote>
  <w:footnote w:type="continuationSeparator" w:id="0">
    <w:p w:rsidR="005C33D5" w:rsidRDefault="005C33D5" w:rsidP="006D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B03" w:rsidRDefault="00E3136F" w:rsidP="006D7B0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do zarządzenia nr 185</w:t>
    </w:r>
    <w:r w:rsidR="006D7B03">
      <w:rPr>
        <w:sz w:val="20"/>
        <w:szCs w:val="20"/>
      </w:rPr>
      <w:t>/XVI R/2022</w:t>
    </w:r>
  </w:p>
  <w:p w:rsidR="006D7B03" w:rsidRPr="003B4F97" w:rsidRDefault="00E3136F" w:rsidP="006D7B03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Rektora UMW z dnia 24 października</w:t>
    </w:r>
    <w:r w:rsidR="006D7B03">
      <w:rPr>
        <w:sz w:val="20"/>
        <w:szCs w:val="20"/>
      </w:rPr>
      <w:t xml:space="preserve"> 2022 r.</w:t>
    </w:r>
  </w:p>
  <w:p w:rsidR="006D7B03" w:rsidRDefault="006D7B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39E1"/>
    <w:multiLevelType w:val="hybridMultilevel"/>
    <w:tmpl w:val="6A6C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26BE0"/>
    <w:multiLevelType w:val="hybridMultilevel"/>
    <w:tmpl w:val="EAD6B15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34CD3"/>
    <w:multiLevelType w:val="hybridMultilevel"/>
    <w:tmpl w:val="0AACD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A0539"/>
    <w:multiLevelType w:val="hybridMultilevel"/>
    <w:tmpl w:val="2E92037A"/>
    <w:lvl w:ilvl="0" w:tplc="BBA2B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63360"/>
    <w:multiLevelType w:val="hybridMultilevel"/>
    <w:tmpl w:val="0FCA0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E2D13"/>
    <w:multiLevelType w:val="hybridMultilevel"/>
    <w:tmpl w:val="0FCA0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21"/>
    <w:rsid w:val="002A59BF"/>
    <w:rsid w:val="005C33D5"/>
    <w:rsid w:val="006346F6"/>
    <w:rsid w:val="006D7B03"/>
    <w:rsid w:val="00777428"/>
    <w:rsid w:val="00C57721"/>
    <w:rsid w:val="00DE764B"/>
    <w:rsid w:val="00E25355"/>
    <w:rsid w:val="00E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72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721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57721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C5772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B0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D7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B0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72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721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57721"/>
    <w:rPr>
      <w:rFonts w:ascii="Times New Roman" w:eastAsiaTheme="majorEastAsia" w:hAnsi="Times New Roman" w:cstheme="majorBidi"/>
      <w:b/>
      <w:bCs/>
      <w:sz w:val="26"/>
    </w:rPr>
  </w:style>
  <w:style w:type="paragraph" w:styleId="Akapitzlist">
    <w:name w:val="List Paragraph"/>
    <w:basedOn w:val="Normalny"/>
    <w:uiPriority w:val="34"/>
    <w:qFormat/>
    <w:rsid w:val="00C57721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6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6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B0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D7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B0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MKrystyniak</cp:lastModifiedBy>
  <cp:revision>4</cp:revision>
  <dcterms:created xsi:type="dcterms:W3CDTF">2022-10-19T12:24:00Z</dcterms:created>
  <dcterms:modified xsi:type="dcterms:W3CDTF">2022-10-25T13:10:00Z</dcterms:modified>
</cp:coreProperties>
</file>