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278"/>
        <w:gridCol w:w="997"/>
        <w:gridCol w:w="3277"/>
        <w:gridCol w:w="1141"/>
      </w:tblGrid>
      <w:tr w:rsidR="00B165CD" w:rsidRPr="00B165CD" w:rsidTr="00E416AE">
        <w:trPr>
          <w:trHeight w:val="735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bookmarkStart w:id="0" w:name="_GoBack"/>
            <w:bookmarkEnd w:id="0"/>
            <w:r w:rsidRPr="00B165CD">
              <w:rPr>
                <w:rFonts w:eastAsia="Times New Roman"/>
              </w:rPr>
              <w:t xml:space="preserve">Nazwa </w:t>
            </w:r>
            <w:r w:rsidRPr="00B165CD">
              <w:rPr>
                <w:rFonts w:ascii="Liberation Serif" w:eastAsia="Liberation Serif" w:hAnsi="Liberation Serif" w:cs="Liberation Serif"/>
              </w:rPr>
              <w:br/>
            </w:r>
            <w:r w:rsidRPr="00B165CD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pStyle w:val="Nagwek3"/>
              <w:rPr>
                <w:rFonts w:eastAsia="Times New Roman"/>
              </w:rPr>
            </w:pPr>
            <w:bookmarkStart w:id="1" w:name="_Toc126130835"/>
            <w:r w:rsidRPr="00B165CD">
              <w:rPr>
                <w:rFonts w:eastAsia="Times New Roman"/>
              </w:rPr>
              <w:t>KWESTOR</w:t>
            </w:r>
            <w:bookmarkEnd w:id="1"/>
          </w:p>
        </w:tc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165CD">
              <w:rPr>
                <w:b/>
                <w:sz w:val="26"/>
                <w:szCs w:val="26"/>
              </w:rPr>
              <w:t>AK</w:t>
            </w:r>
          </w:p>
        </w:tc>
      </w:tr>
      <w:tr w:rsidR="00B165CD" w:rsidRPr="00B165CD" w:rsidTr="00E416AE">
        <w:trPr>
          <w:trHeight w:val="210"/>
        </w:trPr>
        <w:tc>
          <w:tcPr>
            <w:tcW w:w="151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 xml:space="preserve">Jednostka </w:t>
            </w:r>
            <w:r w:rsidRPr="00B165CD">
              <w:rPr>
                <w:rFonts w:ascii="Liberation Serif" w:eastAsia="Liberation Serif" w:hAnsi="Liberation Serif" w:cs="Liberation Serif"/>
              </w:rPr>
              <w:br/>
            </w:r>
            <w:r w:rsidRPr="00B165CD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>Podległość formalna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>Podległość merytoryczna</w:t>
            </w:r>
          </w:p>
        </w:tc>
      </w:tr>
      <w:tr w:rsidR="00B165CD" w:rsidRPr="00B165CD" w:rsidTr="00E416AE">
        <w:trPr>
          <w:trHeight w:val="398"/>
        </w:trPr>
        <w:tc>
          <w:tcPr>
            <w:tcW w:w="151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rFonts w:eastAsia="Times New Roman"/>
              </w:rPr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rFonts w:eastAsia="Times New Roman"/>
              </w:rPr>
              <w:t>RA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D51C87">
            <w:pPr>
              <w:suppressAutoHyphens/>
              <w:rPr>
                <w:rFonts w:cs="Calibri"/>
              </w:rPr>
            </w:pPr>
            <w:r w:rsidRPr="00B165CD">
              <w:rPr>
                <w:rFonts w:eastAsia="Times New Roman"/>
              </w:rPr>
              <w:t>Dyrektor Generalny</w:t>
            </w:r>
          </w:p>
        </w:tc>
        <w:tc>
          <w:tcPr>
            <w:tcW w:w="11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t>RA</w:t>
            </w:r>
          </w:p>
        </w:tc>
      </w:tr>
      <w:tr w:rsidR="00B165CD" w:rsidRPr="00B165CD" w:rsidTr="00E416AE">
        <w:trPr>
          <w:trHeight w:val="210"/>
        </w:trPr>
        <w:tc>
          <w:tcPr>
            <w:tcW w:w="151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 xml:space="preserve">Jednostki </w:t>
            </w:r>
            <w:r w:rsidRPr="00B165CD">
              <w:rPr>
                <w:rFonts w:ascii="Liberation Serif" w:eastAsia="Liberation Serif" w:hAnsi="Liberation Serif" w:cs="Liberation Serif"/>
              </w:rPr>
              <w:br/>
            </w:r>
            <w:r w:rsidRPr="00B165CD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>Podległość formalna</w:t>
            </w:r>
          </w:p>
        </w:tc>
        <w:tc>
          <w:tcPr>
            <w:tcW w:w="44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>Podległość merytoryczna</w:t>
            </w:r>
          </w:p>
        </w:tc>
      </w:tr>
      <w:tr w:rsidR="00B165CD" w:rsidRPr="00B165CD" w:rsidTr="00E416AE">
        <w:trPr>
          <w:trHeight w:val="338"/>
        </w:trPr>
        <w:tc>
          <w:tcPr>
            <w:tcW w:w="151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Dział Budżetowania i Kosztów</w:t>
            </w:r>
          </w:p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 xml:space="preserve">Dział Finansowo-Księgowy </w:t>
            </w:r>
          </w:p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Dział Planowania i Analiz</w:t>
            </w:r>
          </w:p>
          <w:p w:rsidR="00D51C87" w:rsidRPr="00B165CD" w:rsidRDefault="00D51C87" w:rsidP="00E416AE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KK</w:t>
            </w:r>
          </w:p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KF</w:t>
            </w:r>
          </w:p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KA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  <w:r w:rsidRPr="00B165CD">
              <w:rPr>
                <w:szCs w:val="24"/>
              </w:rPr>
              <w:t>Dział Budżetowania i Kosztów</w:t>
            </w:r>
          </w:p>
          <w:p w:rsidR="00D51C87" w:rsidRPr="00B165CD" w:rsidRDefault="00D51C87" w:rsidP="00E416AE">
            <w:pPr>
              <w:suppressAutoHyphens/>
              <w:rPr>
                <w:szCs w:val="24"/>
              </w:rPr>
            </w:pPr>
            <w:r w:rsidRPr="00B165CD">
              <w:rPr>
                <w:szCs w:val="24"/>
              </w:rPr>
              <w:t xml:space="preserve">Dział Finansowo-Księgowy </w:t>
            </w:r>
          </w:p>
          <w:p w:rsidR="00D51C87" w:rsidRPr="00B165CD" w:rsidRDefault="00D51C87" w:rsidP="00D51C87">
            <w:pPr>
              <w:rPr>
                <w:szCs w:val="24"/>
              </w:rPr>
            </w:pPr>
            <w:r w:rsidRPr="00B165CD">
              <w:rPr>
                <w:szCs w:val="24"/>
              </w:rPr>
              <w:t>Dział Planowania i Analiz</w:t>
            </w:r>
          </w:p>
          <w:p w:rsidR="00D51C87" w:rsidRPr="00B165CD" w:rsidRDefault="00D51C87" w:rsidP="00E416AE">
            <w:pPr>
              <w:suppressAutoHyphens/>
              <w:rPr>
                <w:rFonts w:cs="Calibri"/>
              </w:rPr>
            </w:pPr>
          </w:p>
        </w:tc>
        <w:tc>
          <w:tcPr>
            <w:tcW w:w="11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  <w:rPr>
                <w:rFonts w:cs="Calibri"/>
              </w:rPr>
            </w:pPr>
            <w:r w:rsidRPr="00B165CD">
              <w:rPr>
                <w:rFonts w:cs="Calibri"/>
              </w:rPr>
              <w:t>KK</w:t>
            </w:r>
          </w:p>
          <w:p w:rsidR="00D51C87" w:rsidRPr="00B165CD" w:rsidRDefault="00D51C87" w:rsidP="00E416AE">
            <w:pPr>
              <w:suppressAutoHyphens/>
              <w:rPr>
                <w:rFonts w:cs="Calibri"/>
              </w:rPr>
            </w:pPr>
            <w:r w:rsidRPr="00B165CD">
              <w:rPr>
                <w:rFonts w:cs="Calibri"/>
              </w:rPr>
              <w:t>KF</w:t>
            </w:r>
          </w:p>
          <w:p w:rsidR="00D51C87" w:rsidRPr="00B165CD" w:rsidRDefault="00D51C87" w:rsidP="00E416AE">
            <w:pPr>
              <w:suppressAutoHyphens/>
              <w:rPr>
                <w:rFonts w:cs="Calibri"/>
              </w:rPr>
            </w:pPr>
            <w:r w:rsidRPr="00B165CD">
              <w:rPr>
                <w:rFonts w:cs="Calibri"/>
              </w:rPr>
              <w:t>KA</w:t>
            </w:r>
          </w:p>
        </w:tc>
      </w:tr>
      <w:tr w:rsidR="00B165CD" w:rsidRPr="00B165CD" w:rsidTr="00E416AE">
        <w:trPr>
          <w:trHeight w:val="21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51C87" w:rsidRPr="00B165CD" w:rsidRDefault="00D51C87" w:rsidP="00E416AE">
            <w:pPr>
              <w:rPr>
                <w:szCs w:val="24"/>
              </w:rPr>
            </w:pPr>
          </w:p>
        </w:tc>
      </w:tr>
      <w:tr w:rsidR="00B165CD" w:rsidRPr="00B165CD" w:rsidTr="00E416AE">
        <w:trPr>
          <w:trHeight w:val="262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 xml:space="preserve">Cel działalności: </w:t>
            </w:r>
          </w:p>
        </w:tc>
      </w:tr>
      <w:tr w:rsidR="00B165CD" w:rsidRPr="00B165CD" w:rsidTr="00E416AE">
        <w:trPr>
          <w:trHeight w:val="729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D51C87">
            <w:pPr>
              <w:numPr>
                <w:ilvl w:val="0"/>
                <w:numId w:val="3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B165CD">
              <w:rPr>
                <w:rFonts w:eastAsia="Times New Roman"/>
                <w:spacing w:val="-6"/>
              </w:rPr>
              <w:t>Zapewnienie zgodnego z prawem gospodarowania środkami finansowymi Uczelni poprzez planowanie przychodów i kosztów oraz kontrolę wydatków.</w:t>
            </w:r>
          </w:p>
          <w:p w:rsidR="00D51C87" w:rsidRPr="00B165CD" w:rsidRDefault="00D51C87" w:rsidP="00D51C87">
            <w:pPr>
              <w:numPr>
                <w:ilvl w:val="0"/>
                <w:numId w:val="3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B165CD">
              <w:rPr>
                <w:rFonts w:eastAsia="Times New Roman"/>
                <w:spacing w:val="-6"/>
              </w:rPr>
              <w:t>Prowadzenie rachunkowości Uczelni zgodnie z obowiązującymi przepisami prawa.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3"/>
              </w:numPr>
              <w:spacing w:before="0" w:line="240" w:lineRule="auto"/>
              <w:ind w:left="357" w:right="11" w:hanging="357"/>
              <w:rPr>
                <w:color w:val="auto"/>
                <w:sz w:val="16"/>
                <w:szCs w:val="16"/>
              </w:rPr>
            </w:pPr>
            <w:r w:rsidRPr="00B165CD">
              <w:rPr>
                <w:color w:val="auto"/>
                <w:szCs w:val="24"/>
              </w:rPr>
              <w:t>Profesjonalne kierowanie gospodarką finansową Uczelni</w:t>
            </w:r>
            <w:r w:rsidR="00DB387B" w:rsidRPr="00B165CD">
              <w:rPr>
                <w:color w:val="auto"/>
                <w:szCs w:val="24"/>
              </w:rPr>
              <w:t>.</w:t>
            </w:r>
          </w:p>
          <w:p w:rsidR="00D51C87" w:rsidRPr="00B165CD" w:rsidRDefault="00D51C87" w:rsidP="00D51C87">
            <w:pPr>
              <w:numPr>
                <w:ilvl w:val="0"/>
                <w:numId w:val="3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B165CD">
              <w:rPr>
                <w:szCs w:val="24"/>
              </w:rPr>
              <w:t>Nadzór nad sytuacją ekonomiczną Uczelni</w:t>
            </w:r>
            <w:r w:rsidR="00DB387B" w:rsidRPr="00B165CD">
              <w:rPr>
                <w:szCs w:val="24"/>
              </w:rPr>
              <w:t>.</w:t>
            </w:r>
          </w:p>
        </w:tc>
      </w:tr>
      <w:tr w:rsidR="00B165CD" w:rsidRPr="00B165CD" w:rsidTr="00E416AE">
        <w:trPr>
          <w:trHeight w:val="295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E416AE">
            <w:pPr>
              <w:suppressAutoHyphens/>
            </w:pPr>
            <w:r w:rsidRPr="00B165CD">
              <w:rPr>
                <w:rFonts w:eastAsia="Times New Roman"/>
              </w:rPr>
              <w:t>Kluczowe zadania</w:t>
            </w:r>
          </w:p>
        </w:tc>
      </w:tr>
      <w:tr w:rsidR="00D51C87" w:rsidRPr="00B165CD" w:rsidTr="00E416AE">
        <w:trPr>
          <w:trHeight w:val="7043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  <w:tab w:val="num" w:pos="440"/>
              </w:tabs>
              <w:spacing w:line="276" w:lineRule="auto"/>
              <w:ind w:hanging="9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Prowadzenie gospodarki finansowej zgodnie z obowiązującymi przepisami, w szczególności: </w:t>
            </w:r>
          </w:p>
          <w:p w:rsidR="00D51C87" w:rsidRPr="00B165CD" w:rsidRDefault="00D51C87" w:rsidP="00D51C87">
            <w:pPr>
              <w:pStyle w:val="Zwykytekst"/>
              <w:numPr>
                <w:ilvl w:val="1"/>
                <w:numId w:val="12"/>
              </w:numPr>
              <w:tabs>
                <w:tab w:val="clear" w:pos="1800"/>
                <w:tab w:val="num" w:pos="624"/>
                <w:tab w:val="num" w:pos="866"/>
              </w:tabs>
              <w:spacing w:line="276" w:lineRule="auto"/>
              <w:ind w:left="86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wykonywanie dyspozycji środkami pieniężnymi, w tym dotyczących lokowania </w:t>
            </w:r>
            <w:r w:rsidRPr="00B165CD">
              <w:rPr>
                <w:rFonts w:ascii="Times New Roman" w:hAnsi="Times New Roman"/>
                <w:sz w:val="24"/>
                <w:szCs w:val="24"/>
              </w:rPr>
              <w:br/>
              <w:t xml:space="preserve">i wydatkowania środków, </w:t>
            </w:r>
          </w:p>
          <w:p w:rsidR="00D51C87" w:rsidRPr="00B165CD" w:rsidRDefault="00D51C87" w:rsidP="00D51C87">
            <w:pPr>
              <w:pStyle w:val="Zwykytekst"/>
              <w:numPr>
                <w:ilvl w:val="1"/>
                <w:numId w:val="12"/>
              </w:numPr>
              <w:tabs>
                <w:tab w:val="clear" w:pos="1800"/>
                <w:tab w:val="num" w:pos="624"/>
                <w:tab w:val="num" w:pos="866"/>
              </w:tabs>
              <w:spacing w:line="276" w:lineRule="auto"/>
              <w:ind w:left="86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przestrzeganie zasad rozliczeń pieniężnych i ochrony wartości pieniężnych, </w:t>
            </w:r>
          </w:p>
          <w:p w:rsidR="00D51C87" w:rsidRPr="00B165CD" w:rsidRDefault="00D51C87" w:rsidP="00D51C87">
            <w:pPr>
              <w:pStyle w:val="Zwykytekst"/>
              <w:numPr>
                <w:ilvl w:val="1"/>
                <w:numId w:val="12"/>
              </w:numPr>
              <w:tabs>
                <w:tab w:val="clear" w:pos="1800"/>
                <w:tab w:val="num" w:pos="624"/>
                <w:tab w:val="num" w:pos="866"/>
              </w:tabs>
              <w:spacing w:line="276" w:lineRule="auto"/>
              <w:ind w:left="866" w:hanging="42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zapewnienie pod względem finansowym prawidłowości umów zawieranych przez Uczelnię, </w:t>
            </w:r>
          </w:p>
          <w:p w:rsidR="00D51C87" w:rsidRPr="00B165CD" w:rsidRDefault="00D51C87" w:rsidP="00D51C87">
            <w:pPr>
              <w:pStyle w:val="Zwykytekst"/>
              <w:numPr>
                <w:ilvl w:val="1"/>
                <w:numId w:val="12"/>
              </w:numPr>
              <w:tabs>
                <w:tab w:val="clear" w:pos="1800"/>
                <w:tab w:val="num" w:pos="624"/>
                <w:tab w:val="num" w:pos="866"/>
              </w:tabs>
              <w:spacing w:line="276" w:lineRule="auto"/>
              <w:ind w:left="86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nadzór nad terminowym ściąganiem należności i dochodzeniem roszczeń spornych, </w:t>
            </w:r>
          </w:p>
          <w:p w:rsidR="00D51C87" w:rsidRPr="00B165CD" w:rsidRDefault="00D51C87" w:rsidP="00D51C87">
            <w:pPr>
              <w:pStyle w:val="Zwykytekst"/>
              <w:numPr>
                <w:ilvl w:val="1"/>
                <w:numId w:val="12"/>
              </w:numPr>
              <w:tabs>
                <w:tab w:val="clear" w:pos="1800"/>
                <w:tab w:val="num" w:pos="624"/>
                <w:tab w:val="num" w:pos="866"/>
              </w:tabs>
              <w:spacing w:line="276" w:lineRule="auto"/>
              <w:ind w:left="86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>nadzór nad bieżącym i prawidłowym prowadzeniem księgowości oraz sporządzaniem sprawozdawczości finansowej.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  <w:tab w:val="num" w:pos="440"/>
                <w:tab w:val="num" w:pos="624"/>
              </w:tabs>
              <w:spacing w:line="276" w:lineRule="auto"/>
              <w:ind w:hanging="9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Kontrola wykorzystania limitów i środków finansowych będących w dyspozycji Uczelni.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Opracowywanie projektów przepisów wewnętrznych dotyczących prowadzenia rachunkowości, </w:t>
            </w:r>
            <w:r w:rsidRPr="00B165CD">
              <w:rPr>
                <w:rFonts w:ascii="Times New Roman" w:hAnsi="Times New Roman"/>
                <w:sz w:val="24"/>
                <w:szCs w:val="24"/>
              </w:rPr>
              <w:t>współudział w opracowywaniu planu rzeczowo-finansowego Uczelni oraz dokonywanie analiz ekonomicznych, w szczególności bieżącej analizy wykorzystania limitów i środków będących w dyspozycji Uczelni.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Nadzór nad prawidłową ewidencją kosztów w układzie rodzajowym i kalkulacyjnym oraz ich rozliczaniem.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Opracowywanie okresowych analiz kształtowania się kosztów.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Sprawowanie nadzoru nad działalnością naukowo-badawczą.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Ewidencjonowanie otrzymanej dotacji z KBN w ujęciu prac naukowo-badawczych (prace własne, statutowe, granty).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Sprawowanie nadzoru nad prawidłowym rozliczaniem prac remontowych.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Kontrola prawidłowości windykacji należności Uczelni.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Współudział przy sporządzaniu sprawozdawczości finansowej (GUS, KBN, MZ i inne).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Kontrola przechowywania i zabezpieczania ksiąg rachunkowych, dokumentów i sprawozdań.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Bieżąca kontrola w zakresie prawidłowości gospodarowania środkami trwałymi i obrotowymi oraz ich ewidencji.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Bieżąca analiza wykorzystania limitu wynagrodzeń. 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Nadzór nad Działem Budżetowania, </w:t>
            </w:r>
            <w:r w:rsidR="00D9576B" w:rsidRPr="00B165CD">
              <w:rPr>
                <w:rFonts w:ascii="Times New Roman" w:hAnsi="Times New Roman"/>
                <w:sz w:val="24"/>
                <w:szCs w:val="24"/>
              </w:rPr>
              <w:t>Kosztów,</w:t>
            </w:r>
            <w:r w:rsidRPr="00B165CD">
              <w:rPr>
                <w:rFonts w:ascii="Times New Roman" w:hAnsi="Times New Roman"/>
                <w:sz w:val="24"/>
                <w:szCs w:val="24"/>
              </w:rPr>
              <w:t xml:space="preserve"> Działem Finansowo-Księgowym i Działem Planowania i Analiz.</w:t>
            </w:r>
          </w:p>
          <w:p w:rsidR="00D51C87" w:rsidRPr="00B165CD" w:rsidRDefault="00D51C87" w:rsidP="00D51C87">
            <w:pPr>
              <w:pStyle w:val="Zwykytek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hanging="425"/>
              <w:jc w:val="both"/>
              <w:rPr>
                <w:rFonts w:eastAsia="Times New Roman"/>
                <w:spacing w:val="-6"/>
              </w:rPr>
            </w:pPr>
            <w:r w:rsidRPr="00B165CD">
              <w:rPr>
                <w:rFonts w:ascii="Times New Roman" w:hAnsi="Times New Roman"/>
                <w:sz w:val="24"/>
                <w:szCs w:val="24"/>
              </w:rPr>
              <w:t xml:space="preserve">Kierowanie pracą podległych pracowników oraz ich szkolenie. 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before="0" w:line="276" w:lineRule="auto"/>
              <w:ind w:left="584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Kierowanie pionem finansowym Uczelni, koordynowanie i optymalizowanie procesu zarządzania finansami Uczelni.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Przygotowanie planu rzeczowo-finansowego i kontrola jego realizacji.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Sporządzanie sprawozdań i analiz budżetowych w zakresie przychodów i kosztów.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Sporządzanie sprawozdań w zakresie stanu zobowiązań i należności Uczelni.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Planowanie finansowe w zakresie przychodów i kosztów.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Nadzór nad sytuacją ekonomiczną Uczelni, w szczególności nad jej wynikiem finansowym.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Monitorowanie płynności finansowej Uczelni.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Przeprowadzanie analiz dotyczących sytuacji finansowej Uczelni.</w:t>
            </w:r>
          </w:p>
          <w:p w:rsidR="00D51C87" w:rsidRPr="00B165CD" w:rsidRDefault="00D51C87" w:rsidP="00D51C87">
            <w:pPr>
              <w:pStyle w:val="Akapitzlist"/>
              <w:numPr>
                <w:ilvl w:val="0"/>
                <w:numId w:val="12"/>
              </w:numPr>
              <w:tabs>
                <w:tab w:val="clear" w:pos="1080"/>
              </w:tabs>
              <w:spacing w:line="276" w:lineRule="auto"/>
              <w:ind w:left="582" w:right="11" w:hanging="425"/>
              <w:rPr>
                <w:color w:val="auto"/>
                <w:szCs w:val="24"/>
              </w:rPr>
            </w:pPr>
            <w:r w:rsidRPr="00B165CD">
              <w:rPr>
                <w:color w:val="auto"/>
                <w:szCs w:val="24"/>
              </w:rPr>
              <w:t>Analiza i ocena ryzyka podejmowanych działań w obszarze finansowym.</w:t>
            </w:r>
          </w:p>
          <w:p w:rsidR="00D51C87" w:rsidRPr="00B165CD" w:rsidRDefault="00D51C87" w:rsidP="00D51C87">
            <w:pPr>
              <w:pStyle w:val="Akapitzlist"/>
              <w:spacing w:line="276" w:lineRule="auto"/>
              <w:ind w:left="582" w:right="11"/>
              <w:rPr>
                <w:rFonts w:eastAsia="Times New Roman"/>
                <w:color w:val="auto"/>
              </w:rPr>
            </w:pPr>
          </w:p>
        </w:tc>
      </w:tr>
    </w:tbl>
    <w:p w:rsidR="00442C78" w:rsidRPr="00B165CD" w:rsidRDefault="00442C78" w:rsidP="00D51C87"/>
    <w:sectPr w:rsidR="00442C78" w:rsidRPr="00B165CD" w:rsidSect="004C6846">
      <w:headerReference w:type="first" r:id="rId9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2" w:rsidRDefault="00B227F2" w:rsidP="004C6846">
      <w:r>
        <w:separator/>
      </w:r>
    </w:p>
  </w:endnote>
  <w:endnote w:type="continuationSeparator" w:id="0">
    <w:p w:rsidR="00B227F2" w:rsidRDefault="00B227F2" w:rsidP="004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2" w:rsidRDefault="00B227F2" w:rsidP="004C6846">
      <w:r>
        <w:separator/>
      </w:r>
    </w:p>
  </w:footnote>
  <w:footnote w:type="continuationSeparator" w:id="0">
    <w:p w:rsidR="00B227F2" w:rsidRDefault="00B227F2" w:rsidP="004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Załącznik nr </w:t>
    </w:r>
    <w:r w:rsidR="00001077">
      <w:rPr>
        <w:sz w:val="20"/>
        <w:szCs w:val="20"/>
      </w:rPr>
      <w:t>5</w:t>
    </w:r>
    <w:r w:rsidR="001B6114">
      <w:rPr>
        <w:sz w:val="20"/>
        <w:szCs w:val="20"/>
      </w:rPr>
      <w:t xml:space="preserve"> do zarządzenia nr  77</w:t>
    </w:r>
    <w:r w:rsidRPr="004C6846">
      <w:rPr>
        <w:sz w:val="20"/>
        <w:szCs w:val="20"/>
      </w:rPr>
      <w:t>/XVI R/2023</w:t>
    </w:r>
  </w:p>
  <w:p w:rsidR="004C6846" w:rsidRDefault="004C6846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Rektora Uniwersytetu Medycznego we Wrocławiu </w:t>
    </w:r>
  </w:p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 dnia </w:t>
    </w:r>
    <w:r w:rsidR="001B6114">
      <w:rPr>
        <w:sz w:val="20"/>
        <w:szCs w:val="20"/>
      </w:rPr>
      <w:t>10</w:t>
    </w:r>
    <w:r>
      <w:rPr>
        <w:sz w:val="20"/>
        <w:szCs w:val="20"/>
      </w:rPr>
      <w:t xml:space="preserve">  </w:t>
    </w:r>
    <w:r w:rsidR="00D80E13">
      <w:rPr>
        <w:sz w:val="20"/>
        <w:szCs w:val="20"/>
      </w:rPr>
      <w:t>maja</w:t>
    </w:r>
    <w:r>
      <w:rPr>
        <w:sz w:val="20"/>
        <w:szCs w:val="20"/>
      </w:rPr>
      <w:t xml:space="preserve"> </w:t>
    </w:r>
    <w:r w:rsidRPr="004C6846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3A9"/>
    <w:multiLevelType w:val="hybridMultilevel"/>
    <w:tmpl w:val="39EEC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F13"/>
    <w:multiLevelType w:val="hybridMultilevel"/>
    <w:tmpl w:val="F28209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A00DF"/>
    <w:multiLevelType w:val="hybridMultilevel"/>
    <w:tmpl w:val="5742FCDA"/>
    <w:lvl w:ilvl="0" w:tplc="05CE0978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10CD8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963C0"/>
    <w:multiLevelType w:val="hybridMultilevel"/>
    <w:tmpl w:val="EF78705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29781CB9"/>
    <w:multiLevelType w:val="hybridMultilevel"/>
    <w:tmpl w:val="899CC414"/>
    <w:lvl w:ilvl="0" w:tplc="A5AA003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0D2F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B2556"/>
    <w:multiLevelType w:val="hybridMultilevel"/>
    <w:tmpl w:val="47F87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85D8D"/>
    <w:multiLevelType w:val="hybridMultilevel"/>
    <w:tmpl w:val="B746AABC"/>
    <w:lvl w:ilvl="0" w:tplc="6A20E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B5F21"/>
    <w:multiLevelType w:val="hybridMultilevel"/>
    <w:tmpl w:val="C91812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432DC"/>
    <w:multiLevelType w:val="hybridMultilevel"/>
    <w:tmpl w:val="3E8E1C9A"/>
    <w:lvl w:ilvl="0" w:tplc="B198C314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6"/>
    <w:rsid w:val="00001077"/>
    <w:rsid w:val="00090EDB"/>
    <w:rsid w:val="000C387B"/>
    <w:rsid w:val="0012491A"/>
    <w:rsid w:val="0014124A"/>
    <w:rsid w:val="001B6114"/>
    <w:rsid w:val="00245E59"/>
    <w:rsid w:val="00442C78"/>
    <w:rsid w:val="004C5868"/>
    <w:rsid w:val="004C6846"/>
    <w:rsid w:val="00553CC1"/>
    <w:rsid w:val="00834B57"/>
    <w:rsid w:val="009A1659"/>
    <w:rsid w:val="009B4DC4"/>
    <w:rsid w:val="00B165CD"/>
    <w:rsid w:val="00B227F2"/>
    <w:rsid w:val="00BA0068"/>
    <w:rsid w:val="00D51C87"/>
    <w:rsid w:val="00D80E13"/>
    <w:rsid w:val="00D9576B"/>
    <w:rsid w:val="00D96B75"/>
    <w:rsid w:val="00DB387B"/>
    <w:rsid w:val="00E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650F-D822-41B4-8BC8-CEFD3FB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9</cp:revision>
  <dcterms:created xsi:type="dcterms:W3CDTF">2023-05-07T16:42:00Z</dcterms:created>
  <dcterms:modified xsi:type="dcterms:W3CDTF">2023-05-10T12:20:00Z</dcterms:modified>
</cp:coreProperties>
</file>