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0E44" w:rsidRPr="00283EA9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A97D65" w:rsidRPr="00283EA9" w:rsidP="00A97D65">
      <w:pPr>
        <w:bidi w:val="0"/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  <w:rtl w:val="0"/>
          <w:lang w:val="en"/>
        </w:rPr>
        <w:t>The list of prerequisite courses referred to in Article 43(3), point 3 of the Study Regulations of Wroclaw Medical University effective from the 2021/2022 academic year.</w:t>
      </w:r>
    </w:p>
    <w:p w:rsidR="006C0E44" w:rsidRPr="00283EA9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82"/>
        <w:gridCol w:w="1724"/>
        <w:gridCol w:w="2010"/>
        <w:gridCol w:w="1169"/>
        <w:gridCol w:w="1301"/>
        <w:gridCol w:w="11"/>
        <w:gridCol w:w="2235"/>
        <w:gridCol w:w="11"/>
      </w:tblGrid>
      <w:tr w:rsidTr="00283EA9">
        <w:tblPrEx>
          <w:tblW w:w="10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" w:type="dxa"/>
          <w:trHeight w:val="1200"/>
        </w:trPr>
        <w:tc>
          <w:tcPr>
            <w:tcW w:w="2382" w:type="dxa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Faculty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Field of study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 xml:space="preserve">Level of studies </w:t>
              <w:br/>
              <w:t xml:space="preserve">(first cycle / </w:t>
            </w:r>
          </w:p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second cycle / uniform Master's studies)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Year of studies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Term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Course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 w:val="restart"/>
            <w:shd w:val="clear" w:color="000000" w:fill="FCE4D6"/>
            <w:noWrap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Medicine</w:t>
            </w:r>
          </w:p>
        </w:tc>
        <w:tc>
          <w:tcPr>
            <w:tcW w:w="1724" w:type="dxa"/>
            <w:vMerge w:val="restart"/>
            <w:shd w:val="clear" w:color="000000" w:fill="FCE4D6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Medicine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Uniform Master's studies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Anatomy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Physiology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Pharmacology and toxicology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 w:val="restart"/>
            <w:shd w:val="clear" w:color="000000" w:fill="DDEBF7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Medicine and Dentistry</w:t>
            </w:r>
          </w:p>
        </w:tc>
        <w:tc>
          <w:tcPr>
            <w:tcW w:w="1724" w:type="dxa"/>
            <w:vMerge w:val="restart"/>
            <w:shd w:val="clear" w:color="000000" w:fill="DDEBF7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Medicine and Dentistry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:rsidR="00581325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Uniform Master's studies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Normal anatomy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Biochemistry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Biochemistry with elements of 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Pharmacology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 w:val="restart"/>
            <w:shd w:val="clear" w:color="000000" w:fill="FFF2CC"/>
            <w:noWrap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rtl w:val="0"/>
                <w:lang w:val="en" w:eastAsia="pl-PL"/>
              </w:rPr>
              <w:t>Pharmacy</w:t>
            </w: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Pharmacy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Uniform Master's studies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Inorganic 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Organic 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Chemistry of drugs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Laboratory Diagnostics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Uniform Master's studies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Anatomy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Immunology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Physiology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Clinical 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Hematology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P="00281448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Clinical chemistry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FEF2CC" w:themeFill="accent4" w:themeFillTint="33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Dietetics</w:t>
            </w:r>
          </w:p>
        </w:tc>
        <w:tc>
          <w:tcPr>
            <w:tcW w:w="2010" w:type="dxa"/>
            <w:vMerge w:val="restart"/>
            <w:shd w:val="clear" w:color="auto" w:fill="FEF2CC" w:themeFill="accent4" w:themeFillTint="33"/>
            <w:noWrap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First cycle</w:t>
            </w:r>
          </w:p>
        </w:tc>
        <w:tc>
          <w:tcPr>
            <w:tcW w:w="1169" w:type="dxa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Human nutrition 1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EF2CC" w:themeFill="accent4" w:themeFillTint="33"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EF2CC" w:themeFill="accent4" w:themeFillTint="33"/>
            <w:noWrap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Fundamentals of dietetics 1 and 2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EF2CC" w:themeFill="accent4" w:themeFillTint="33"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EF2CC" w:themeFill="accent4" w:themeFillTint="33"/>
            <w:noWrap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Second cycle</w:t>
            </w:r>
          </w:p>
        </w:tc>
        <w:tc>
          <w:tcPr>
            <w:tcW w:w="1169" w:type="dxa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Dietary prophylaxis and treatment of diet-related non-communicable diseases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EF2CC" w:themeFill="accent4" w:themeFillTint="33"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EF2CC" w:themeFill="accent4" w:themeFillTint="33"/>
            <w:noWrap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FEF2CC" w:themeFill="accent4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Nutrition of pregnant and lactating women / nutrition of young children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Health Sciences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Physiotherapy</w:t>
            </w:r>
          </w:p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Uniform Master's studies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Normal human anatomy 1 / </w:t>
              <w:br/>
              <w:t>Normal human anatomy 2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Kinesiotherapy 2 / Kinesiotherapy 3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Emergency Medical Service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First cycle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Medical rescue activities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Medical rescue activities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Nursing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First cycle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Anatomy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Fundamentals of nursing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Obstetrics</w:t>
            </w:r>
          </w:p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283EA9" w:rsidP="00283EA9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First cycle</w:t>
            </w:r>
          </w:p>
          <w:p w:rsidR="00C45A02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Anatomy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Fundamentals of obstetric care</w:t>
            </w:r>
          </w:p>
        </w:tc>
      </w:tr>
      <w:tr w:rsidTr="00283EA9">
        <w:tblPrEx>
          <w:tblW w:w="10843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283EA9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P="006C0E44">
            <w:pPr>
              <w:bidi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rtl w:val="0"/>
                <w:lang w:val="en" w:eastAsia="pl-PL"/>
              </w:rPr>
              <w:t xml:space="preserve">Obstetric techniques and management of childbirth </w:t>
            </w:r>
          </w:p>
        </w:tc>
      </w:tr>
    </w:tbl>
    <w:p w:rsidR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P="003430C1">
      <w:pPr>
        <w:rPr>
          <w:rFonts w:ascii="Verdana" w:hAnsi="Verdana" w:cs="Times New Roman"/>
          <w:sz w:val="24"/>
          <w:szCs w:val="24"/>
        </w:rPr>
      </w:pPr>
    </w:p>
    <w:p w:rsidR="00A97D65" w:rsidRPr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Sect="0009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6" w:bottom="284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C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8752352"/>
      <w:placeholder>
        <w:docPart w:val="2BD07AACF9D84C87B3EAE001BCD047F9"/>
      </w:placeholder>
      <w:showingPlcHdr/>
      <w:richText/>
      <w:temporary/>
      <w15:appearance w15:val="hidden"/>
    </w:sdtPr>
    <w:sdtContent>
      <w:p w:rsidR="00096C35">
        <w:pPr>
          <w:pStyle w:val="Header"/>
          <w:bidi w:val="0"/>
        </w:pPr>
        <w:r>
          <w:rPr>
            <w:rtl w:val="0"/>
            <w:lang w:val="en"/>
          </w:rPr>
          <w:t>[Enter here]</w:t>
        </w:r>
      </w:p>
    </w:sdtContent>
  </w:sdt>
  <w:p w:rsidR="00096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C35" w:rsidRPr="00096C35" w:rsidP="00096C35">
    <w:pPr>
      <w:bidi w:val="0"/>
      <w:spacing w:after="0" w:line="240" w:lineRule="auto"/>
      <w:ind w:left="4956"/>
      <w:rPr>
        <w:rFonts w:cstheme="minorHAnsi"/>
        <w:sz w:val="20"/>
        <w:szCs w:val="20"/>
      </w:rPr>
    </w:pPr>
    <w:r w:rsidRPr="00096C35">
      <w:rPr>
        <w:rFonts w:cstheme="minorHAnsi"/>
        <w:sz w:val="20"/>
        <w:szCs w:val="20"/>
        <w:rtl w:val="0"/>
        <w:lang w:val="en"/>
      </w:rPr>
      <w:t>Appendix to the Regulations</w:t>
    </w:r>
  </w:p>
  <w:p w:rsidR="00096C35" w:rsidRPr="00096C35" w:rsidP="00096C35">
    <w:pPr>
      <w:bidi w:val="0"/>
      <w:spacing w:after="0" w:line="240" w:lineRule="auto"/>
      <w:ind w:left="4956"/>
      <w:rPr>
        <w:rFonts w:cstheme="minorHAnsi"/>
        <w:sz w:val="20"/>
        <w:szCs w:val="20"/>
      </w:rPr>
    </w:pPr>
    <w:r>
      <w:rPr>
        <w:rFonts w:cstheme="minorHAnsi"/>
        <w:sz w:val="20"/>
        <w:szCs w:val="20"/>
        <w:rtl w:val="0"/>
        <w:lang w:val="en"/>
      </w:rPr>
      <w:t xml:space="preserve">(resolution no. 2499 of the Senate of Wroclaw Medical University </w:t>
    </w:r>
    <w:bookmarkStart w:id="0" w:name="_GoBack"/>
    <w:bookmarkEnd w:id="0"/>
    <w:r>
      <w:rPr>
        <w:rFonts w:cstheme="minorHAnsi"/>
        <w:sz w:val="20"/>
        <w:szCs w:val="20"/>
        <w:rtl w:val="0"/>
        <w:lang w:val="en"/>
      </w:rPr>
      <w:t>of 26 April 2023)</w:t>
    </w:r>
  </w:p>
  <w:p w:rsidR="00096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096C35"/>
    <w:rsid w:val="001C034F"/>
    <w:rsid w:val="00281448"/>
    <w:rsid w:val="00283EA9"/>
    <w:rsid w:val="00295BDF"/>
    <w:rsid w:val="003430C1"/>
    <w:rsid w:val="0034560C"/>
    <w:rsid w:val="004B7C10"/>
    <w:rsid w:val="0050539F"/>
    <w:rsid w:val="00581325"/>
    <w:rsid w:val="00680CFC"/>
    <w:rsid w:val="006C0E44"/>
    <w:rsid w:val="007C27DF"/>
    <w:rsid w:val="007C3EDD"/>
    <w:rsid w:val="008139A0"/>
    <w:rsid w:val="00875428"/>
    <w:rsid w:val="008A4421"/>
    <w:rsid w:val="0090746A"/>
    <w:rsid w:val="009C5E46"/>
    <w:rsid w:val="00A22319"/>
    <w:rsid w:val="00A97D65"/>
    <w:rsid w:val="00B7715E"/>
    <w:rsid w:val="00C45A02"/>
    <w:rsid w:val="00CB303B"/>
    <w:rsid w:val="00D65DAC"/>
    <w:rsid w:val="00DC5C62"/>
    <w:rsid w:val="00EF7D79"/>
    <w:rsid w:val="00F25100"/>
    <w:rsid w:val="00F45D59"/>
    <w:rsid w:val="00F6566D"/>
    <w:rsid w:val="00F677C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7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NagwekZnak"/>
    <w:uiPriority w:val="99"/>
    <w:unhideWhenUsed/>
    <w:rsid w:val="0009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96C35"/>
  </w:style>
  <w:style w:type="paragraph" w:styleId="Footer">
    <w:name w:val="footer"/>
    <w:basedOn w:val="Normal"/>
    <w:link w:val="StopkaZnak"/>
    <w:uiPriority w:val="99"/>
    <w:unhideWhenUsed/>
    <w:rsid w:val="0009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9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BD07AACF9D84C87B3EAE001BCD04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20715-53E3-4668-9D7B-5B28313F94E4}"/>
      </w:docPartPr>
      <w:docPartBody>
        <w:p w:rsidR="0034560C" w:rsidP="0050539F">
          <w:pPr>
            <w:pStyle w:val="2BD07AACF9D84C87B3EAE001BCD047F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9F"/>
    <w:rsid w:val="0034560C"/>
    <w:rsid w:val="0050539F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07AACF9D84C87B3EAE001BCD047F9">
    <w:name w:val="2BD07AACF9D84C87B3EAE001BCD047F9"/>
    <w:rsid w:val="00505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927A4B5896143B9C4CC4B02F813EC" ma:contentTypeVersion="13" ma:contentTypeDescription="Utwórz nowy dokument." ma:contentTypeScope="" ma:versionID="17697f523d96f92bd318b9e777dd7743">
  <xsd:schema xmlns:xsd="http://www.w3.org/2001/XMLSchema" xmlns:xs="http://www.w3.org/2001/XMLSchema" xmlns:p="http://schemas.microsoft.com/office/2006/metadata/properties" xmlns:ns2="09d381cb-fe74-4a58-8d33-2a19bb4f30b7" xmlns:ns3="2202d638-6fe6-4b8a-a780-1398859fb0cf" targetNamespace="http://schemas.microsoft.com/office/2006/metadata/properties" ma:root="true" ma:fieldsID="de930d14fbafde95c241c4d76c104c37" ns2:_="" ns3:_="">
    <xsd:import namespace="09d381cb-fe74-4a58-8d33-2a19bb4f30b7"/>
    <xsd:import namespace="2202d638-6fe6-4b8a-a780-1398859f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81cb-fe74-4a58-8d33-2a19bb4f3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d638-6fe6-4b8a-a780-1398859f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24d843-f453-4484-8deb-d01b4ea6ecf9}" ma:internalName="TaxCatchAll" ma:showField="CatchAllData" ma:web="2202d638-6fe6-4b8a-a780-1398859f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38B63-05A8-4A26-8448-1171CB0AFA6A}">
  <ds:schemaRefs/>
</ds:datastoreItem>
</file>

<file path=customXml/itemProps2.xml><?xml version="1.0" encoding="utf-8"?>
<ds:datastoreItem xmlns:ds="http://schemas.openxmlformats.org/officeDocument/2006/customXml" ds:itemID="{0C06D6A5-24D3-446F-8865-903CB8F89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IZurek</cp:lastModifiedBy>
  <cp:revision>8</cp:revision>
  <cp:lastPrinted>2023-04-12T08:53:00Z</cp:lastPrinted>
  <dcterms:created xsi:type="dcterms:W3CDTF">2023-04-11T05:54:00Z</dcterms:created>
  <dcterms:modified xsi:type="dcterms:W3CDTF">2023-04-24T10:28:00Z</dcterms:modified>
</cp:coreProperties>
</file>