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71" w:rsidRDefault="00571B71" w:rsidP="00571B71">
      <w:pPr>
        <w:spacing w:after="0" w:line="360" w:lineRule="auto"/>
        <w:ind w:left="5245"/>
        <w:rPr>
          <w:rFonts w:eastAsia="Calibri" w:cstheme="minorHAnsi"/>
          <w:b/>
          <w:sz w:val="20"/>
          <w:szCs w:val="20"/>
        </w:rPr>
      </w:pPr>
      <w:r>
        <w:rPr>
          <w:rFonts w:eastAsia="Calibri" w:cstheme="minorHAnsi"/>
          <w:b/>
          <w:sz w:val="20"/>
          <w:szCs w:val="20"/>
        </w:rPr>
        <w:t>Załącznik</w:t>
      </w:r>
    </w:p>
    <w:p w:rsidR="00571B71" w:rsidRDefault="00571B71" w:rsidP="00571B71">
      <w:pPr>
        <w:spacing w:after="0" w:line="360" w:lineRule="auto"/>
        <w:ind w:left="5245"/>
        <w:rPr>
          <w:rFonts w:eastAsia="Calibri" w:cstheme="minorHAnsi"/>
          <w:b/>
          <w:sz w:val="20"/>
          <w:szCs w:val="20"/>
        </w:rPr>
      </w:pPr>
      <w:r>
        <w:rPr>
          <w:rFonts w:eastAsia="Calibri" w:cstheme="minorHAnsi"/>
          <w:b/>
          <w:sz w:val="20"/>
          <w:szCs w:val="20"/>
        </w:rPr>
        <w:t>do Uchwały nr 17</w:t>
      </w:r>
      <w:r>
        <w:rPr>
          <w:rFonts w:eastAsia="Calibri" w:cstheme="minorHAnsi"/>
          <w:b/>
          <w:sz w:val="20"/>
          <w:szCs w:val="20"/>
        </w:rPr>
        <w:t>/2023 Rady Uczelni                                                                                                                                                                                                       Uniwersytetu Medycznego we Wrocławiu</w:t>
      </w:r>
    </w:p>
    <w:p w:rsidR="00571B71" w:rsidRDefault="00571B71" w:rsidP="00571B71">
      <w:pPr>
        <w:spacing w:after="0" w:line="360" w:lineRule="auto"/>
        <w:ind w:left="5245"/>
        <w:rPr>
          <w:rFonts w:eastAsia="Calibri" w:cstheme="minorHAnsi"/>
          <w:b/>
          <w:sz w:val="20"/>
          <w:szCs w:val="20"/>
        </w:rPr>
      </w:pPr>
      <w:r>
        <w:rPr>
          <w:rFonts w:eastAsia="Calibri" w:cstheme="minorHAnsi"/>
          <w:b/>
          <w:sz w:val="20"/>
          <w:szCs w:val="20"/>
        </w:rPr>
        <w:t xml:space="preserve">z dnia 25 września </w:t>
      </w:r>
      <w:bookmarkStart w:id="0" w:name="_GoBack"/>
      <w:bookmarkEnd w:id="0"/>
      <w:r>
        <w:rPr>
          <w:rFonts w:eastAsia="Calibri" w:cstheme="minorHAnsi"/>
          <w:b/>
          <w:sz w:val="20"/>
          <w:szCs w:val="20"/>
        </w:rPr>
        <w:t>2023 r.</w:t>
      </w:r>
    </w:p>
    <w:p w:rsidR="00571B71" w:rsidRDefault="00571B71" w:rsidP="00571B71">
      <w:pPr>
        <w:spacing w:after="0" w:line="360" w:lineRule="auto"/>
        <w:jc w:val="both"/>
        <w:rPr>
          <w:rFonts w:cstheme="minorHAnsi"/>
          <w:color w:val="000000" w:themeColor="text1"/>
          <w:sz w:val="24"/>
          <w:szCs w:val="24"/>
        </w:rPr>
      </w:pPr>
    </w:p>
    <w:p w:rsidR="00571B71" w:rsidRDefault="00571B71" w:rsidP="00571B71">
      <w:pPr>
        <w:spacing w:after="0" w:line="360" w:lineRule="auto"/>
        <w:jc w:val="both"/>
        <w:rPr>
          <w:rFonts w:cstheme="minorHAnsi"/>
        </w:rPr>
      </w:pPr>
      <w:r>
        <w:rPr>
          <w:rFonts w:cstheme="minorHAnsi"/>
        </w:rPr>
        <w:t xml:space="preserve">W statucie Uniwersytetu Medycznego im. Piastów Śląskich we Wrocławiu (załącznik do uchwały nr 2349 Senatu Uniwersytetu Medycznego im. Piastów Śląskich we Wrocławiu </w:t>
      </w:r>
      <w:r>
        <w:rPr>
          <w:rFonts w:cstheme="minorHAnsi"/>
        </w:rPr>
        <w:br/>
        <w:t>z dnia 27 października 2021 r. ze zm.), wprowadza się następujące zmiany:</w:t>
      </w:r>
    </w:p>
    <w:p w:rsidR="00571B71" w:rsidRDefault="00571B71" w:rsidP="00571B71">
      <w:pPr>
        <w:spacing w:after="0" w:line="360" w:lineRule="auto"/>
        <w:jc w:val="both"/>
        <w:rPr>
          <w:rFonts w:cstheme="minorHAnsi"/>
        </w:rPr>
      </w:pPr>
    </w:p>
    <w:p w:rsidR="00571B71" w:rsidRDefault="00571B71" w:rsidP="00571B71">
      <w:pPr>
        <w:pStyle w:val="Akapitzlist"/>
        <w:numPr>
          <w:ilvl w:val="0"/>
          <w:numId w:val="1"/>
        </w:numPr>
        <w:spacing w:after="0" w:line="360" w:lineRule="auto"/>
        <w:ind w:left="567" w:hanging="425"/>
        <w:jc w:val="both"/>
        <w:rPr>
          <w:rFonts w:cstheme="minorHAnsi"/>
          <w:color w:val="000000" w:themeColor="text1"/>
        </w:rPr>
      </w:pPr>
      <w:r>
        <w:rPr>
          <w:rFonts w:cstheme="minorHAnsi"/>
          <w:color w:val="000000" w:themeColor="text1"/>
        </w:rPr>
        <w:t>w § 35 w ust. 10 po wyrazach „radzie dyscypliny,” dodaje się wyrazy „uczelnianym kolegium elektorów,”;</w:t>
      </w:r>
    </w:p>
    <w:p w:rsidR="00571B71" w:rsidRDefault="00571B71" w:rsidP="00571B71">
      <w:pPr>
        <w:pStyle w:val="Akapitzlist"/>
        <w:numPr>
          <w:ilvl w:val="0"/>
          <w:numId w:val="1"/>
        </w:numPr>
        <w:spacing w:after="0" w:line="360" w:lineRule="auto"/>
        <w:ind w:left="502"/>
        <w:jc w:val="both"/>
        <w:rPr>
          <w:rFonts w:cstheme="minorHAnsi"/>
          <w:color w:val="000000" w:themeColor="text1"/>
        </w:rPr>
      </w:pPr>
      <w:r>
        <w:rPr>
          <w:rFonts w:cstheme="minorHAnsi"/>
          <w:color w:val="000000" w:themeColor="text1"/>
        </w:rPr>
        <w:t>w § 36 w ust. 2 po pkt. 2 dodaje się pkt 2a w brzmieniu:</w:t>
      </w:r>
    </w:p>
    <w:p w:rsidR="00571B71" w:rsidRDefault="00571B71" w:rsidP="00571B71">
      <w:pPr>
        <w:tabs>
          <w:tab w:val="right" w:pos="284"/>
          <w:tab w:val="left" w:pos="1276"/>
        </w:tabs>
        <w:suppressAutoHyphens/>
        <w:spacing w:after="0" w:line="360" w:lineRule="auto"/>
        <w:ind w:left="567"/>
        <w:jc w:val="both"/>
        <w:rPr>
          <w:rFonts w:cstheme="minorHAnsi"/>
          <w:spacing w:val="-4"/>
        </w:rPr>
      </w:pPr>
      <w:r>
        <w:rPr>
          <w:rFonts w:cstheme="minorHAnsi"/>
          <w:spacing w:val="-4"/>
        </w:rPr>
        <w:t>„2a) zapewnienie w Uczelni poszanowania wolności słowa, nauczania, badań naukowych, ogłaszania ich wyników, a także debaty akademickiej organizowanej przez członków wspólnoty uczelni z zachowaniem zasad pluralizmu światopoglądowego i przepisów porządkowych uczelni,”;</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3) w § 43 w ust. 4 wyraz „listopada” zastępuje się wyrazem „października”;</w:t>
      </w:r>
    </w:p>
    <w:p w:rsidR="00571B71" w:rsidRDefault="00571B71" w:rsidP="00571B71">
      <w:pPr>
        <w:spacing w:after="0" w:line="360" w:lineRule="auto"/>
        <w:ind w:firstLine="142"/>
        <w:jc w:val="both"/>
        <w:rPr>
          <w:rFonts w:cstheme="minorHAnsi"/>
          <w:color w:val="000000" w:themeColor="text1"/>
        </w:rPr>
      </w:pPr>
      <w:r>
        <w:rPr>
          <w:rFonts w:cstheme="minorHAnsi"/>
          <w:color w:val="000000" w:themeColor="text1"/>
        </w:rPr>
        <w:t>4) w § 45  ust. 1 i 1a otrzymują brzmienie:</w:t>
      </w:r>
    </w:p>
    <w:p w:rsidR="00571B71" w:rsidRDefault="00571B71" w:rsidP="00571B71">
      <w:pPr>
        <w:widowControl w:val="0"/>
        <w:suppressAutoHyphens/>
        <w:spacing w:after="0" w:line="360" w:lineRule="auto"/>
        <w:ind w:left="284"/>
        <w:jc w:val="both"/>
        <w:rPr>
          <w:rFonts w:cstheme="minorHAnsi"/>
        </w:rPr>
      </w:pPr>
      <w:r>
        <w:rPr>
          <w:rFonts w:cstheme="minorHAnsi"/>
          <w:color w:val="000000" w:themeColor="text1"/>
        </w:rPr>
        <w:t xml:space="preserve">„1. </w:t>
      </w:r>
      <w:r>
        <w:rPr>
          <w:rFonts w:cstheme="minorHAnsi"/>
        </w:rPr>
        <w:t>Przewodniczącym rady uczelni jest jej członek pochodzący spoza wspólnoty Uczelni, wybrany przez senat. W przypadku braku wyboru przewodniczącego przez senat do dnia rozpoczęcia kadencji rady uczelni, do czasu wyboru przewodniczącego jego funkcję  pełni jej najstarszy członek spoza wspólnoty Uczelni.</w:t>
      </w:r>
    </w:p>
    <w:p w:rsidR="00571B71" w:rsidRDefault="00571B71" w:rsidP="00571B71">
      <w:pPr>
        <w:widowControl w:val="0"/>
        <w:suppressAutoHyphens/>
        <w:spacing w:after="0" w:line="360" w:lineRule="auto"/>
        <w:ind w:left="284"/>
        <w:jc w:val="both"/>
        <w:rPr>
          <w:rFonts w:cstheme="minorHAnsi"/>
        </w:rPr>
      </w:pPr>
      <w:r>
        <w:rPr>
          <w:rFonts w:cstheme="minorHAnsi"/>
        </w:rPr>
        <w:t>1a. Po dokonaniu wyboru ostatniego członka rady uczelni, kandydata na przewodniczącego rady uczelni zgłasza rektor lub członek senatu w terminie zgłaszania spraw na kolejne posiedzenie senatu. Do zgłoszenia wymagana jest pisemna zgoda kandydata na kandydowanie na przewodniczącego rady uczelni. Wzór karty do głosowania ogłasza uczelniana komisja wyborcza. Do wyboru przewodniczącego rady uczelni stosuje się odpowiednio § 46 regulaminu wyborów uczelnianej komisji wyborczej, uczelnianego kolegium elektorów, rektora i senatu.”;</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5)  w § 56 ust. 8 otrzymuje brzmienie:</w:t>
      </w:r>
    </w:p>
    <w:p w:rsidR="00571B71" w:rsidRDefault="00571B71" w:rsidP="00571B71">
      <w:pPr>
        <w:spacing w:after="0" w:line="360" w:lineRule="auto"/>
        <w:ind w:left="284"/>
        <w:jc w:val="both"/>
        <w:rPr>
          <w:rFonts w:cstheme="minorHAnsi"/>
          <w:color w:val="000000" w:themeColor="text1"/>
        </w:rPr>
      </w:pPr>
      <w:r>
        <w:rPr>
          <w:rFonts w:cstheme="minorHAnsi"/>
          <w:color w:val="000000" w:themeColor="text1"/>
        </w:rPr>
        <w:t xml:space="preserve">„8. </w:t>
      </w:r>
      <w:r>
        <w:rPr>
          <w:rFonts w:cstheme="minorHAnsi"/>
          <w:sz w:val="24"/>
          <w:szCs w:val="24"/>
        </w:rPr>
        <w:t>Członkostwa w radzie dyscypliny nie można łączyć z pełnieniem funkcji organu Uczelni lub innej uczelni wyższej.”;</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6) w § 59:</w:t>
      </w:r>
    </w:p>
    <w:p w:rsidR="00571B71" w:rsidRDefault="00571B71" w:rsidP="00571B71">
      <w:pPr>
        <w:spacing w:after="0" w:line="360" w:lineRule="auto"/>
        <w:ind w:left="851" w:hanging="425"/>
        <w:jc w:val="both"/>
        <w:rPr>
          <w:rFonts w:cstheme="minorHAnsi"/>
          <w:color w:val="000000" w:themeColor="text1"/>
        </w:rPr>
      </w:pPr>
      <w:r>
        <w:rPr>
          <w:rFonts w:cstheme="minorHAnsi"/>
          <w:color w:val="000000" w:themeColor="text1"/>
        </w:rPr>
        <w:t>a) w ust. 1 w pkt 3 kropkę zastępuje się przecinkiem i dodaje się pkt 4 w brzmieniu:</w:t>
      </w:r>
    </w:p>
    <w:p w:rsidR="00571B71" w:rsidRDefault="00571B71" w:rsidP="00571B71">
      <w:pPr>
        <w:spacing w:after="0" w:line="360" w:lineRule="auto"/>
        <w:ind w:left="993" w:hanging="426"/>
        <w:jc w:val="both"/>
        <w:rPr>
          <w:rFonts w:cstheme="minorHAnsi"/>
          <w:color w:val="000000" w:themeColor="text1"/>
        </w:rPr>
      </w:pPr>
      <w:r>
        <w:rPr>
          <w:rFonts w:cstheme="minorHAnsi"/>
          <w:color w:val="000000" w:themeColor="text1"/>
        </w:rPr>
        <w:t>„4) wyboru na rektora.”,</w:t>
      </w:r>
    </w:p>
    <w:p w:rsidR="00571B71" w:rsidRDefault="00571B71" w:rsidP="00571B71">
      <w:pPr>
        <w:spacing w:after="0" w:line="360" w:lineRule="auto"/>
        <w:ind w:left="993" w:hanging="567"/>
        <w:jc w:val="both"/>
        <w:rPr>
          <w:rFonts w:cstheme="minorHAnsi"/>
          <w:color w:val="000000" w:themeColor="text1"/>
        </w:rPr>
      </w:pPr>
      <w:r>
        <w:rPr>
          <w:rFonts w:cstheme="minorHAnsi"/>
          <w:color w:val="000000" w:themeColor="text1"/>
        </w:rPr>
        <w:t>b) ust. 3 otrzymuje brzmienie:</w:t>
      </w:r>
    </w:p>
    <w:p w:rsidR="00571B71" w:rsidRDefault="00571B71" w:rsidP="00571B71">
      <w:pPr>
        <w:pStyle w:val="Akapitzlist"/>
        <w:spacing w:after="0" w:line="360" w:lineRule="auto"/>
        <w:ind w:left="426"/>
        <w:jc w:val="both"/>
        <w:rPr>
          <w:rFonts w:cstheme="minorHAnsi"/>
        </w:rPr>
      </w:pPr>
      <w:r>
        <w:rPr>
          <w:rFonts w:cstheme="minorHAnsi"/>
          <w:color w:val="000000" w:themeColor="text1"/>
        </w:rPr>
        <w:t xml:space="preserve">„3. </w:t>
      </w:r>
      <w:r>
        <w:rPr>
          <w:rFonts w:cstheme="minorHAnsi"/>
        </w:rPr>
        <w:t xml:space="preserve">W przypadku stwierdzenia wygaśnięcia mandatu członka rady dyscypliny, skład rady uzupełniany jest o kolejnego nauczyciela akademickiego z zestawienia, sporządzonego w oparciu </w:t>
      </w:r>
      <w:r>
        <w:rPr>
          <w:rFonts w:cstheme="minorHAnsi"/>
        </w:rPr>
        <w:lastRenderedPageBreak/>
        <w:t>o § 56 ust. 4 pkt 2, o najwyższym wskaźniku IF, z uwzględnieniem grup, o których mowa w § 55, lub o doktoranta wybranego zgodnie z § 56 ust. 7, pod warunkiem spełniania przez daną osobę warunków określonych w § 56 ust. 1, z zastrzeżeniem § 56 ust. 3, na okres pozostały do końca kadencji rady. W przypadku gdy dwóch lub więcej nauczycieli akademickich, spełniających wymagania, o których mowa w § 56 ust. 1 będzie miało taki sam współczynnik IF, wówczas osoby te nie wchodzą do rady dyscypliny, a mandaty w grupie nauczycieli akademickich pozostają nieobsadzone. Mandaty w tej grupie pozostają nieobsadzone również w przypadku nie spełnienia warunków, o których mowa w § 56 ust. 1, przez żadną z osób.”;</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7) w § 61 ust. 2 otrzymuje brzmienie:</w:t>
      </w:r>
    </w:p>
    <w:p w:rsidR="00571B71" w:rsidRDefault="00571B71" w:rsidP="00571B71">
      <w:pPr>
        <w:pStyle w:val="Akapitzlist"/>
        <w:spacing w:after="0" w:line="360" w:lineRule="auto"/>
        <w:ind w:left="284"/>
        <w:jc w:val="both"/>
        <w:rPr>
          <w:rFonts w:cstheme="minorHAnsi"/>
        </w:rPr>
      </w:pPr>
      <w:r>
        <w:rPr>
          <w:rFonts w:cstheme="minorHAnsi"/>
          <w:color w:val="000000" w:themeColor="text1"/>
        </w:rPr>
        <w:t xml:space="preserve">„2. </w:t>
      </w:r>
      <w:r>
        <w:rPr>
          <w:rFonts w:cstheme="minorHAnsi"/>
        </w:rPr>
        <w:t>Skład UKW oraz tryb wyboru jej członków określa regulamin wyborów, stanowiący załącznik nr 7 do statutu.”;</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8) w § 67 w ust 2:</w:t>
      </w:r>
    </w:p>
    <w:p w:rsidR="00571B71" w:rsidRDefault="00571B71" w:rsidP="00571B71">
      <w:pPr>
        <w:spacing w:after="0" w:line="360" w:lineRule="auto"/>
        <w:ind w:left="851" w:hanging="567"/>
        <w:jc w:val="both"/>
        <w:rPr>
          <w:rFonts w:cstheme="minorHAnsi"/>
          <w:color w:val="000000" w:themeColor="text1"/>
        </w:rPr>
      </w:pPr>
      <w:r>
        <w:rPr>
          <w:rFonts w:cstheme="minorHAnsi"/>
          <w:color w:val="000000" w:themeColor="text1"/>
        </w:rPr>
        <w:t>a) pkt. 15 otrzymuje brzmienie:</w:t>
      </w:r>
    </w:p>
    <w:p w:rsidR="00571B71" w:rsidRDefault="00571B71" w:rsidP="00571B71">
      <w:pPr>
        <w:pStyle w:val="StandardowyStandardowy1"/>
        <w:widowControl w:val="0"/>
        <w:tabs>
          <w:tab w:val="left" w:pos="851"/>
        </w:tabs>
        <w:suppressAutoHyphens/>
        <w:spacing w:line="360" w:lineRule="auto"/>
        <w:ind w:left="709"/>
        <w:jc w:val="both"/>
        <w:rPr>
          <w:rFonts w:asciiTheme="minorHAnsi" w:hAnsiTheme="minorHAnsi" w:cstheme="minorHAnsi"/>
          <w:snapToGrid w:val="0"/>
          <w:sz w:val="22"/>
          <w:szCs w:val="22"/>
        </w:rPr>
      </w:pPr>
      <w:r>
        <w:rPr>
          <w:rFonts w:asciiTheme="minorHAnsi" w:hAnsiTheme="minorHAnsi" w:cstheme="minorHAnsi"/>
          <w:color w:val="000000" w:themeColor="text1"/>
          <w:sz w:val="22"/>
          <w:szCs w:val="22"/>
        </w:rPr>
        <w:t xml:space="preserve">„15) </w:t>
      </w:r>
      <w:r>
        <w:rPr>
          <w:rFonts w:asciiTheme="minorHAnsi" w:hAnsiTheme="minorHAnsi" w:cstheme="minorHAnsi"/>
          <w:snapToGrid w:val="0"/>
          <w:sz w:val="22"/>
          <w:szCs w:val="22"/>
        </w:rPr>
        <w:t>sprawowanie nadzoru nad działalnością dydaktyczną i organizacyjną jednostek organizacyjnych wydziału lub filii,”,</w:t>
      </w:r>
    </w:p>
    <w:p w:rsidR="00571B71" w:rsidRDefault="00571B71" w:rsidP="00571B71">
      <w:pPr>
        <w:spacing w:after="0" w:line="360" w:lineRule="auto"/>
        <w:ind w:left="851" w:hanging="567"/>
        <w:jc w:val="both"/>
        <w:rPr>
          <w:rFonts w:cstheme="minorHAnsi"/>
          <w:color w:val="000000" w:themeColor="text1"/>
        </w:rPr>
      </w:pPr>
      <w:r>
        <w:rPr>
          <w:rFonts w:cstheme="minorHAnsi"/>
          <w:color w:val="000000" w:themeColor="text1"/>
        </w:rPr>
        <w:t>b) pkt. 17-21 otrzymują brzmienie:</w:t>
      </w:r>
    </w:p>
    <w:p w:rsidR="00571B71" w:rsidRDefault="00571B71" w:rsidP="00571B71">
      <w:pPr>
        <w:pStyle w:val="StandardowyStandardowy1"/>
        <w:widowControl w:val="0"/>
        <w:tabs>
          <w:tab w:val="left" w:pos="993"/>
        </w:tabs>
        <w:suppressAutoHyphens/>
        <w:spacing w:line="360" w:lineRule="auto"/>
        <w:ind w:left="851" w:hanging="349"/>
        <w:jc w:val="both"/>
        <w:rPr>
          <w:rFonts w:asciiTheme="minorHAnsi" w:hAnsiTheme="minorHAnsi" w:cstheme="minorHAnsi"/>
          <w:snapToGrid w:val="0"/>
          <w:sz w:val="22"/>
          <w:szCs w:val="22"/>
        </w:rPr>
      </w:pPr>
      <w:r>
        <w:rPr>
          <w:rFonts w:asciiTheme="minorHAnsi" w:hAnsiTheme="minorHAnsi" w:cstheme="minorHAnsi"/>
          <w:snapToGrid w:val="0"/>
          <w:sz w:val="22"/>
          <w:szCs w:val="22"/>
        </w:rPr>
        <w:t>„17) przedkładanie rektorowi sprawozdania z działalności dydaktycznej realizowanej przez wydział lub filię w danym roku akademickim, w terminie do 31 grudnia roku, którego rok sprawozdawczy dotyczy,</w:t>
      </w:r>
    </w:p>
    <w:p w:rsidR="00571B71" w:rsidRDefault="00571B71" w:rsidP="00571B71">
      <w:pPr>
        <w:pStyle w:val="StandardowyStandardowy1"/>
        <w:widowControl w:val="0"/>
        <w:tabs>
          <w:tab w:val="left" w:pos="993"/>
        </w:tabs>
        <w:suppressAutoHyphens/>
        <w:spacing w:line="360" w:lineRule="auto"/>
        <w:ind w:left="851" w:hanging="349"/>
        <w:jc w:val="both"/>
        <w:rPr>
          <w:rFonts w:asciiTheme="minorHAnsi" w:hAnsiTheme="minorHAnsi" w:cstheme="minorHAnsi"/>
          <w:snapToGrid w:val="0"/>
          <w:sz w:val="22"/>
          <w:szCs w:val="22"/>
        </w:rPr>
      </w:pPr>
      <w:r>
        <w:rPr>
          <w:rFonts w:asciiTheme="minorHAnsi" w:hAnsiTheme="minorHAnsi" w:cstheme="minorHAnsi"/>
          <w:snapToGrid w:val="0"/>
          <w:sz w:val="22"/>
          <w:szCs w:val="22"/>
        </w:rPr>
        <w:t>18) rekomendowanie podjęcia współpracy jednostek organizacyjnych wydziału lub filii  z jednostkami organizacyjnymi innych wydziałów lub filii Uczelni, z jednostkami ogólnouczelnianymi oraz, w miarę potrzeby, z jednostkami innych szkół wyższych i podmiotami leczniczymi, w celu realizacji zadań dydaktycznych Uczelni,</w:t>
      </w:r>
    </w:p>
    <w:p w:rsidR="00571B71" w:rsidRDefault="00571B71" w:rsidP="00571B71">
      <w:pPr>
        <w:pStyle w:val="StandardowyStandardowy1"/>
        <w:widowControl w:val="0"/>
        <w:tabs>
          <w:tab w:val="left" w:pos="993"/>
        </w:tabs>
        <w:suppressAutoHyphens/>
        <w:spacing w:line="360" w:lineRule="auto"/>
        <w:ind w:left="851" w:hanging="349"/>
        <w:jc w:val="both"/>
        <w:rPr>
          <w:rFonts w:asciiTheme="minorHAnsi" w:hAnsiTheme="minorHAnsi" w:cstheme="minorHAnsi"/>
          <w:snapToGrid w:val="0"/>
          <w:sz w:val="22"/>
          <w:szCs w:val="22"/>
        </w:rPr>
      </w:pPr>
      <w:r>
        <w:rPr>
          <w:rFonts w:asciiTheme="minorHAnsi" w:hAnsiTheme="minorHAnsi" w:cstheme="minorHAnsi"/>
          <w:snapToGrid w:val="0"/>
          <w:sz w:val="22"/>
          <w:szCs w:val="22"/>
        </w:rPr>
        <w:t>19) nadzorowanie działalności międzynarodowej wydziału lub filii w zakresie dydaktyki,</w:t>
      </w:r>
    </w:p>
    <w:p w:rsidR="00571B71" w:rsidRDefault="00571B71" w:rsidP="00571B71">
      <w:pPr>
        <w:pStyle w:val="StandardowyStandardowy1"/>
        <w:widowControl w:val="0"/>
        <w:tabs>
          <w:tab w:val="left" w:pos="993"/>
        </w:tabs>
        <w:suppressAutoHyphens/>
        <w:spacing w:line="360" w:lineRule="auto"/>
        <w:ind w:left="851" w:hanging="349"/>
        <w:jc w:val="both"/>
        <w:rPr>
          <w:rFonts w:asciiTheme="minorHAnsi" w:hAnsiTheme="minorHAnsi" w:cstheme="minorHAnsi"/>
          <w:snapToGrid w:val="0"/>
          <w:sz w:val="22"/>
          <w:szCs w:val="22"/>
        </w:rPr>
      </w:pPr>
      <w:r>
        <w:rPr>
          <w:rFonts w:asciiTheme="minorHAnsi" w:hAnsiTheme="minorHAnsi" w:cstheme="minorHAnsi"/>
          <w:snapToGrid w:val="0"/>
          <w:sz w:val="22"/>
          <w:szCs w:val="22"/>
        </w:rPr>
        <w:t>20) nadzorowanie doskonalenia procesu jakości kształcenia na wydziale lub w filii,</w:t>
      </w:r>
    </w:p>
    <w:p w:rsidR="00571B71" w:rsidRDefault="00571B71" w:rsidP="00571B71">
      <w:pPr>
        <w:pStyle w:val="StandardowyStandardowy1"/>
        <w:widowControl w:val="0"/>
        <w:tabs>
          <w:tab w:val="left" w:pos="993"/>
        </w:tabs>
        <w:suppressAutoHyphens/>
        <w:spacing w:line="360" w:lineRule="auto"/>
        <w:ind w:left="851" w:hanging="349"/>
        <w:jc w:val="both"/>
        <w:rPr>
          <w:rFonts w:asciiTheme="minorHAnsi" w:hAnsiTheme="minorHAnsi" w:cstheme="minorHAnsi"/>
          <w:snapToGrid w:val="0"/>
          <w:sz w:val="22"/>
          <w:szCs w:val="22"/>
        </w:rPr>
      </w:pPr>
      <w:r>
        <w:rPr>
          <w:rFonts w:asciiTheme="minorHAnsi" w:hAnsiTheme="minorHAnsi" w:cstheme="minorHAnsi"/>
          <w:snapToGrid w:val="0"/>
          <w:sz w:val="22"/>
          <w:szCs w:val="22"/>
        </w:rPr>
        <w:t>21) wykonywanie innych czynności niezbędnych do prawidłowego funkcjonowania wydziału lub filii.”;</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9) tytuł rozdziału 3 w Dziale IV otrzymuje brzmienie: „Wymagania kwalifikacyjne”,</w:t>
      </w:r>
    </w:p>
    <w:p w:rsidR="00571B71" w:rsidRDefault="00571B71" w:rsidP="00571B71">
      <w:pPr>
        <w:spacing w:after="0" w:line="360" w:lineRule="auto"/>
        <w:ind w:left="851" w:hanging="709"/>
        <w:jc w:val="both"/>
        <w:rPr>
          <w:rFonts w:cstheme="minorHAnsi"/>
          <w:color w:val="000000" w:themeColor="text1"/>
        </w:rPr>
      </w:pPr>
      <w:r>
        <w:rPr>
          <w:rFonts w:cstheme="minorHAnsi"/>
          <w:color w:val="000000" w:themeColor="text1"/>
        </w:rPr>
        <w:t>10) w § 90 uchyla się ust. 3;</w:t>
      </w:r>
    </w:p>
    <w:p w:rsidR="00571B71" w:rsidRDefault="00571B71" w:rsidP="00571B71">
      <w:pPr>
        <w:spacing w:after="0" w:line="360" w:lineRule="auto"/>
        <w:ind w:left="284" w:hanging="142"/>
        <w:jc w:val="both"/>
        <w:rPr>
          <w:rFonts w:cstheme="minorHAnsi"/>
          <w:color w:val="000000" w:themeColor="text1"/>
        </w:rPr>
      </w:pPr>
      <w:r>
        <w:rPr>
          <w:rFonts w:cstheme="minorHAnsi"/>
          <w:color w:val="000000" w:themeColor="text1"/>
        </w:rPr>
        <w:t>11) w załączniku nr 7 do statutu:</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a) w § 3 ust. 2 i 3 wyrazy „31 grudnia” zastępuje się wyrazami „30 listopada”;</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b) § 6 otrzymuje brzmienie:</w:t>
      </w:r>
    </w:p>
    <w:p w:rsidR="00571B71" w:rsidRDefault="00571B71" w:rsidP="00571B71">
      <w:pPr>
        <w:spacing w:after="0" w:line="360" w:lineRule="auto"/>
        <w:ind w:left="1276" w:hanging="283"/>
        <w:jc w:val="both"/>
        <w:rPr>
          <w:rFonts w:cstheme="minorHAnsi"/>
          <w:color w:val="000000" w:themeColor="text1"/>
        </w:rPr>
      </w:pPr>
      <w:r>
        <w:rPr>
          <w:rFonts w:cstheme="minorHAnsi"/>
          <w:color w:val="000000" w:themeColor="text1"/>
        </w:rPr>
        <w:t>„</w:t>
      </w:r>
      <w:r>
        <w:rPr>
          <w:rFonts w:cstheme="minorHAnsi"/>
          <w:spacing w:val="-4"/>
        </w:rPr>
        <w:t xml:space="preserve">§ 6 </w:t>
      </w:r>
      <w:r>
        <w:rPr>
          <w:rFonts w:cstheme="minorHAnsi"/>
        </w:rPr>
        <w:t>(karty do głosowania na rektora)</w:t>
      </w:r>
    </w:p>
    <w:p w:rsidR="00571B71" w:rsidRDefault="00571B71" w:rsidP="00571B71">
      <w:pPr>
        <w:numPr>
          <w:ilvl w:val="0"/>
          <w:numId w:val="2"/>
        </w:numPr>
        <w:spacing w:after="0" w:line="360" w:lineRule="auto"/>
        <w:ind w:left="1276" w:hanging="283"/>
        <w:jc w:val="both"/>
        <w:rPr>
          <w:rFonts w:cstheme="minorHAnsi"/>
        </w:rPr>
      </w:pPr>
      <w:r>
        <w:rPr>
          <w:rFonts w:cstheme="minorHAnsi"/>
        </w:rPr>
        <w:t>W wyborach rektora, w przypadku zgłoszenia więcej niż jednego kandydata przed nazwiskiem umieszcza się jedną kratkę oraz dodatkowo, pod nazwiskami kandydatów umieszcza się kratkę: „WSTRZYMUJĘ SIĘ OD GŁOSU”.</w:t>
      </w:r>
    </w:p>
    <w:p w:rsidR="00571B71" w:rsidRDefault="00571B71" w:rsidP="00571B71">
      <w:pPr>
        <w:numPr>
          <w:ilvl w:val="0"/>
          <w:numId w:val="2"/>
        </w:numPr>
        <w:spacing w:after="0" w:line="360" w:lineRule="auto"/>
        <w:ind w:left="1276" w:hanging="283"/>
        <w:jc w:val="both"/>
        <w:rPr>
          <w:rFonts w:cstheme="minorHAnsi"/>
        </w:rPr>
      </w:pPr>
      <w:r>
        <w:rPr>
          <w:rFonts w:cstheme="minorHAnsi"/>
        </w:rPr>
        <w:lastRenderedPageBreak/>
        <w:t xml:space="preserve"> W przypadku zgłoszenia więcej niż jednego kandydata, głosować należy stawiając znak „X” w kratce przed nazwiskiem  jednego z kandydatów albo w kratce: „WSTRZYMUJĘ SIĘ OD GŁOSU”. </w:t>
      </w:r>
    </w:p>
    <w:p w:rsidR="00571B71" w:rsidRDefault="00571B71" w:rsidP="00571B71">
      <w:pPr>
        <w:numPr>
          <w:ilvl w:val="0"/>
          <w:numId w:val="2"/>
        </w:numPr>
        <w:spacing w:after="0" w:line="360" w:lineRule="auto"/>
        <w:ind w:left="1276" w:hanging="283"/>
        <w:jc w:val="both"/>
        <w:rPr>
          <w:rFonts w:cstheme="minorHAnsi"/>
        </w:rPr>
      </w:pPr>
      <w:r>
        <w:rPr>
          <w:rFonts w:cstheme="minorHAnsi"/>
        </w:rPr>
        <w:t xml:space="preserve">W przypadku zgłoszenia więcej niż jednego kandydata głos jest ważny, jeżeli znak "X" zostanie postawiony w kratce przed nazwiskiem jednego z kandydatów albo w kratce: „WSTRZYMUJĘ SIĘ OD GŁOSU”. </w:t>
      </w:r>
    </w:p>
    <w:p w:rsidR="00571B71" w:rsidRDefault="00571B71" w:rsidP="00571B71">
      <w:pPr>
        <w:pStyle w:val="Akapitzlist"/>
        <w:numPr>
          <w:ilvl w:val="0"/>
          <w:numId w:val="2"/>
        </w:numPr>
        <w:spacing w:after="0" w:line="360" w:lineRule="auto"/>
        <w:ind w:left="1276" w:hanging="283"/>
        <w:jc w:val="both"/>
        <w:rPr>
          <w:rFonts w:cstheme="minorHAnsi"/>
        </w:rPr>
      </w:pPr>
      <w:r>
        <w:rPr>
          <w:rFonts w:cstheme="minorHAnsi"/>
        </w:rPr>
        <w:t>W przypadku zgłoszenia więcej niż jednego kandydata głos jest nieważny, jeżeli znak „X” nie będzie postawiony w żadnej kratce albo jeżeli znak „X” będzie postawiony w więcej niż jednej kratce.</w:t>
      </w:r>
    </w:p>
    <w:p w:rsidR="00571B71" w:rsidRDefault="00571B71" w:rsidP="00571B71">
      <w:pPr>
        <w:pStyle w:val="Akapitzlist"/>
        <w:numPr>
          <w:ilvl w:val="0"/>
          <w:numId w:val="2"/>
        </w:numPr>
        <w:spacing w:after="0" w:line="360" w:lineRule="auto"/>
        <w:ind w:left="1276" w:hanging="283"/>
        <w:jc w:val="both"/>
        <w:rPr>
          <w:rFonts w:cstheme="minorHAnsi"/>
        </w:rPr>
      </w:pPr>
      <w:r>
        <w:rPr>
          <w:rFonts w:cstheme="minorHAnsi"/>
        </w:rPr>
        <w:t>W przypadku zgłoszenia jednego kandydata przed nazwiskiem umieszcza się jedną kratkę oraz dodatkowo, pod nazwiskiem kandydata umieszcza się kratkę: „NIE” oraz kratkę: „WSTRZYMUJĘ SIĘ OD GŁOSU”.</w:t>
      </w:r>
    </w:p>
    <w:p w:rsidR="00571B71" w:rsidRDefault="00571B71" w:rsidP="00571B71">
      <w:pPr>
        <w:pStyle w:val="Akapitzlist"/>
        <w:numPr>
          <w:ilvl w:val="0"/>
          <w:numId w:val="2"/>
        </w:numPr>
        <w:spacing w:after="0" w:line="360" w:lineRule="auto"/>
        <w:ind w:left="1276" w:hanging="283"/>
        <w:jc w:val="both"/>
        <w:rPr>
          <w:rFonts w:cstheme="minorHAnsi"/>
        </w:rPr>
      </w:pPr>
      <w:r>
        <w:rPr>
          <w:rFonts w:cstheme="minorHAnsi"/>
        </w:rPr>
        <w:t>W przypadku zgłoszenia jednego kandydata, głosować należy stawiając znak „X” w kratce przed nazwiskiem kandydata albo w kratce „NIE” albo w kratce „WSTRZYMUJĘ SIĘ OD GŁOSU”.</w:t>
      </w:r>
    </w:p>
    <w:p w:rsidR="00571B71" w:rsidRDefault="00571B71" w:rsidP="00571B71">
      <w:pPr>
        <w:pStyle w:val="Akapitzlist"/>
        <w:numPr>
          <w:ilvl w:val="0"/>
          <w:numId w:val="2"/>
        </w:numPr>
        <w:spacing w:after="0" w:line="360" w:lineRule="auto"/>
        <w:ind w:left="1276" w:hanging="283"/>
        <w:jc w:val="both"/>
        <w:rPr>
          <w:rFonts w:cstheme="minorHAnsi"/>
        </w:rPr>
      </w:pPr>
      <w:r>
        <w:rPr>
          <w:rFonts w:cstheme="minorHAnsi"/>
        </w:rPr>
        <w:t>W przypadku zgłoszenia jednego kandydata głos jest ważny, jeżeli znak „X” zostanie postawiony w kratce przed nazwiskiem kandydata, albo w kratce „NIE”, albo w kratce: „WSTRZYMUJĘ SIĘ OD GŁOSU”.</w:t>
      </w:r>
    </w:p>
    <w:p w:rsidR="00571B71" w:rsidRDefault="00571B71" w:rsidP="00571B71">
      <w:pPr>
        <w:pStyle w:val="Akapitzlist"/>
        <w:numPr>
          <w:ilvl w:val="0"/>
          <w:numId w:val="2"/>
        </w:numPr>
        <w:spacing w:after="0" w:line="360" w:lineRule="auto"/>
        <w:ind w:left="1276" w:hanging="283"/>
        <w:jc w:val="both"/>
        <w:rPr>
          <w:rFonts w:cstheme="minorHAnsi"/>
        </w:rPr>
      </w:pPr>
      <w:r>
        <w:rPr>
          <w:rFonts w:cstheme="minorHAnsi"/>
        </w:rPr>
        <w:t>W przypadku zgłoszenia jednego kandydata głos jest nieważny, jeżeli znak „X” nie będzie postawiony w żadnej kratce albo znak ”X” będzie postawiony w więcej niż jednej kratce.</w:t>
      </w:r>
    </w:p>
    <w:p w:rsidR="00571B71" w:rsidRDefault="00571B71" w:rsidP="00571B71">
      <w:pPr>
        <w:numPr>
          <w:ilvl w:val="0"/>
          <w:numId w:val="2"/>
        </w:numPr>
        <w:spacing w:after="0" w:line="360" w:lineRule="auto"/>
        <w:ind w:left="1276" w:hanging="283"/>
        <w:jc w:val="both"/>
        <w:rPr>
          <w:rFonts w:cstheme="minorHAnsi"/>
        </w:rPr>
      </w:pPr>
      <w:r>
        <w:rPr>
          <w:rFonts w:cstheme="minorHAnsi"/>
        </w:rPr>
        <w:t>Postawienie w kratce innych znaków niż „X” lub postawienie na karcie innych znaków powoduje nieważność głosu.”;</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c) § 7 otrzymuje brzmienie:</w:t>
      </w:r>
    </w:p>
    <w:p w:rsidR="00571B71" w:rsidRDefault="00571B71" w:rsidP="00571B71">
      <w:pPr>
        <w:spacing w:after="0" w:line="360" w:lineRule="auto"/>
        <w:ind w:left="993" w:hanging="142"/>
        <w:jc w:val="both"/>
        <w:rPr>
          <w:rFonts w:cstheme="minorHAnsi"/>
          <w:color w:val="000000" w:themeColor="text1"/>
        </w:rPr>
      </w:pPr>
      <w:r>
        <w:rPr>
          <w:rFonts w:cstheme="minorHAnsi"/>
          <w:color w:val="000000" w:themeColor="text1"/>
        </w:rPr>
        <w:t>„</w:t>
      </w:r>
      <w:r>
        <w:rPr>
          <w:rFonts w:cstheme="minorHAnsi"/>
        </w:rPr>
        <w:t>§ 7</w:t>
      </w:r>
      <w:r>
        <w:rPr>
          <w:rFonts w:cstheme="minorHAnsi"/>
          <w:color w:val="000000" w:themeColor="text1"/>
        </w:rPr>
        <w:t xml:space="preserve"> </w:t>
      </w:r>
      <w:r>
        <w:rPr>
          <w:rFonts w:cstheme="minorHAnsi"/>
        </w:rPr>
        <w:t>(karty do głosowania do senatu i UKE)</w:t>
      </w:r>
    </w:p>
    <w:p w:rsidR="00571B71" w:rsidRDefault="00571B71" w:rsidP="00571B71">
      <w:pPr>
        <w:numPr>
          <w:ilvl w:val="0"/>
          <w:numId w:val="3"/>
        </w:numPr>
        <w:tabs>
          <w:tab w:val="clear" w:pos="360"/>
          <w:tab w:val="num" w:pos="1276"/>
        </w:tabs>
        <w:spacing w:after="0" w:line="360" w:lineRule="auto"/>
        <w:ind w:left="1276" w:hanging="283"/>
        <w:jc w:val="both"/>
        <w:rPr>
          <w:rFonts w:cstheme="minorHAnsi"/>
        </w:rPr>
      </w:pPr>
      <w:r>
        <w:rPr>
          <w:rFonts w:cstheme="minorHAnsi"/>
        </w:rPr>
        <w:t>W wyborach do senatu i UKE, w przypadku zgłoszenia więcej niż jednego kandydata, przed nazwiskiem umieszcza się jedną kratkę. Głosować należy stawiając znak „X” w kratce przed nazwiskami kandydatów w liczbie równej lub mniejszej od liczby mandatów.</w:t>
      </w:r>
    </w:p>
    <w:p w:rsidR="00571B71" w:rsidRDefault="00571B71" w:rsidP="00571B71">
      <w:pPr>
        <w:numPr>
          <w:ilvl w:val="0"/>
          <w:numId w:val="3"/>
        </w:numPr>
        <w:tabs>
          <w:tab w:val="clear" w:pos="360"/>
          <w:tab w:val="num" w:pos="1276"/>
        </w:tabs>
        <w:spacing w:after="0" w:line="360" w:lineRule="auto"/>
        <w:ind w:left="1276" w:hanging="283"/>
        <w:jc w:val="both"/>
        <w:rPr>
          <w:rFonts w:cstheme="minorHAnsi"/>
        </w:rPr>
      </w:pPr>
      <w:r>
        <w:rPr>
          <w:rFonts w:cstheme="minorHAnsi"/>
        </w:rPr>
        <w:t>W przypadku zgłoszenia więcej niż jednego kandydata głos jest ważny, jeżeli znak "X" zostanie postawiony w kratce przed nazwiskami kandydatów w liczbie równej lub mniejszej od liczby mandatów.</w:t>
      </w:r>
    </w:p>
    <w:p w:rsidR="00571B71" w:rsidRDefault="00571B71" w:rsidP="00571B71">
      <w:pPr>
        <w:numPr>
          <w:ilvl w:val="0"/>
          <w:numId w:val="3"/>
        </w:numPr>
        <w:tabs>
          <w:tab w:val="clear" w:pos="360"/>
          <w:tab w:val="num" w:pos="1276"/>
        </w:tabs>
        <w:spacing w:after="0" w:line="360" w:lineRule="auto"/>
        <w:ind w:left="1276" w:hanging="283"/>
        <w:jc w:val="both"/>
        <w:rPr>
          <w:rFonts w:cstheme="minorHAnsi"/>
        </w:rPr>
      </w:pPr>
      <w:r>
        <w:rPr>
          <w:rFonts w:cstheme="minorHAnsi"/>
        </w:rPr>
        <w:t>W przypadku zgłoszenia więcej niż jednego kandydata głos jest nieważny, jeżeli znak "X" nie będzie postawiony w kratce przed żadnym nazwiskiem lub jeżeli znak „X” będzie postawiony przed większą liczbą nazwisk niż liczba mandatów.</w:t>
      </w:r>
    </w:p>
    <w:p w:rsidR="00571B71" w:rsidRDefault="00571B71" w:rsidP="00571B71">
      <w:pPr>
        <w:numPr>
          <w:ilvl w:val="0"/>
          <w:numId w:val="3"/>
        </w:numPr>
        <w:tabs>
          <w:tab w:val="clear" w:pos="360"/>
          <w:tab w:val="num" w:pos="1276"/>
        </w:tabs>
        <w:spacing w:after="0" w:line="360" w:lineRule="auto"/>
        <w:ind w:left="1276" w:hanging="283"/>
        <w:jc w:val="both"/>
        <w:rPr>
          <w:rFonts w:cstheme="minorHAnsi"/>
        </w:rPr>
      </w:pPr>
      <w:r>
        <w:rPr>
          <w:rFonts w:cstheme="minorHAnsi"/>
        </w:rPr>
        <w:lastRenderedPageBreak/>
        <w:t>W przypadku zgłoszenia jednego kandydata, przed nazwiskiem umieszcza się dwie kratki: „TAK” oraz „NIE”. Głosować należy stawiając znak „X” w jednej z kratek przed nazwiskiem kandydata.</w:t>
      </w:r>
    </w:p>
    <w:p w:rsidR="00571B71" w:rsidRDefault="00571B71" w:rsidP="00571B71">
      <w:pPr>
        <w:numPr>
          <w:ilvl w:val="0"/>
          <w:numId w:val="3"/>
        </w:numPr>
        <w:tabs>
          <w:tab w:val="clear" w:pos="360"/>
          <w:tab w:val="num" w:pos="1276"/>
        </w:tabs>
        <w:spacing w:after="0" w:line="360" w:lineRule="auto"/>
        <w:ind w:left="1276" w:hanging="283"/>
        <w:jc w:val="both"/>
        <w:rPr>
          <w:rFonts w:cstheme="minorHAnsi"/>
        </w:rPr>
      </w:pPr>
      <w:r>
        <w:rPr>
          <w:rFonts w:cstheme="minorHAnsi"/>
        </w:rPr>
        <w:t>W przypadku zgłoszenia jednego kandydata głos jest ważny, jeżeli znak "X" zostanie postawiony w jednej z kratek przed nazwiskiem kandydata. Głos jest nieważny, jeżeli znak "X" nie będzie postawiony w żadnej kratce lub będzie postawiony w dwu kratkach.</w:t>
      </w:r>
    </w:p>
    <w:p w:rsidR="00571B71" w:rsidRDefault="00571B71" w:rsidP="00571B71">
      <w:pPr>
        <w:numPr>
          <w:ilvl w:val="0"/>
          <w:numId w:val="3"/>
        </w:numPr>
        <w:tabs>
          <w:tab w:val="clear" w:pos="360"/>
          <w:tab w:val="num" w:pos="1276"/>
        </w:tabs>
        <w:spacing w:after="0" w:line="360" w:lineRule="auto"/>
        <w:ind w:left="1276" w:hanging="283"/>
        <w:jc w:val="both"/>
        <w:rPr>
          <w:rFonts w:cstheme="minorHAnsi"/>
        </w:rPr>
      </w:pPr>
      <w:r>
        <w:rPr>
          <w:rFonts w:cstheme="minorHAnsi"/>
        </w:rPr>
        <w:t>Postawienie w kratce przed nazwiskiem innych znaków niż „X” lub postawienie na karcie innych znaków powoduje nieważność głosu.”;</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d) § 14 otrzymuje brzmienie:</w:t>
      </w:r>
    </w:p>
    <w:p w:rsidR="00571B71" w:rsidRDefault="00571B71" w:rsidP="00571B71">
      <w:pPr>
        <w:spacing w:after="0" w:line="360" w:lineRule="auto"/>
        <w:ind w:firstLine="993"/>
        <w:rPr>
          <w:rFonts w:cstheme="minorHAnsi"/>
        </w:rPr>
      </w:pPr>
      <w:r>
        <w:rPr>
          <w:rFonts w:cstheme="minorHAnsi"/>
          <w:color w:val="000000" w:themeColor="text1"/>
        </w:rPr>
        <w:t>„</w:t>
      </w:r>
      <w:r>
        <w:rPr>
          <w:rFonts w:cstheme="minorHAnsi"/>
        </w:rPr>
        <w:t>§ 14 (wybór i kolejne tury głosowania)</w:t>
      </w:r>
    </w:p>
    <w:p w:rsidR="00571B71" w:rsidRDefault="00571B71" w:rsidP="00571B71">
      <w:pPr>
        <w:numPr>
          <w:ilvl w:val="0"/>
          <w:numId w:val="4"/>
        </w:numPr>
        <w:tabs>
          <w:tab w:val="clear" w:pos="360"/>
          <w:tab w:val="num" w:pos="1418"/>
        </w:tabs>
        <w:spacing w:after="0" w:line="360" w:lineRule="auto"/>
        <w:ind w:left="1418" w:hanging="284"/>
        <w:jc w:val="both"/>
        <w:rPr>
          <w:rFonts w:cstheme="minorHAnsi"/>
        </w:rPr>
      </w:pPr>
      <w:r>
        <w:rPr>
          <w:rFonts w:cstheme="minorHAnsi"/>
        </w:rPr>
        <w:t xml:space="preserve">W wyborach do UKE i senatu wybór zostaje dokonany jeśli kandydat uzyskał więcej niż połowę ważnie oddanych głosów, przy czym mandat </w:t>
      </w:r>
      <w:r>
        <w:rPr>
          <w:rFonts w:cstheme="minorHAnsi"/>
          <w:color w:val="000000" w:themeColor="text1"/>
        </w:rPr>
        <w:t>uzyskują osoby w kolejności uzyskania największej liczby głosów, do wyczerpania liczby mandatów w ramach poszczególnych grup.</w:t>
      </w:r>
    </w:p>
    <w:p w:rsidR="00571B71" w:rsidRDefault="00571B71" w:rsidP="00571B71">
      <w:pPr>
        <w:numPr>
          <w:ilvl w:val="0"/>
          <w:numId w:val="4"/>
        </w:numPr>
        <w:tabs>
          <w:tab w:val="clear" w:pos="360"/>
          <w:tab w:val="num" w:pos="1418"/>
        </w:tabs>
        <w:spacing w:after="0" w:line="360" w:lineRule="auto"/>
        <w:ind w:left="1418" w:hanging="284"/>
        <w:jc w:val="both"/>
        <w:rPr>
          <w:rFonts w:cstheme="minorHAnsi"/>
          <w:color w:val="000000" w:themeColor="text1"/>
        </w:rPr>
      </w:pPr>
      <w:r>
        <w:rPr>
          <w:rFonts w:cstheme="minorHAnsi"/>
        </w:rPr>
        <w:t xml:space="preserve">W przypadku wyborów do UKE i do senatu, jeżeli wybór nie zostanie dokonany w I turze, do drugiej tury wyborów dopuszcza się kandydatów, którzy uzyskali największą liczbę głosów, w liczbie równej nieobsadzonym mandatom + 2, a do trzeciej i kolejnych tur w liczbie równej nieobsadzonym mandatom + 1, z zastrzeżeniem ust. </w:t>
      </w:r>
      <w:r>
        <w:rPr>
          <w:rFonts w:cstheme="minorHAnsi"/>
          <w:strike/>
        </w:rPr>
        <w:t>2</w:t>
      </w:r>
      <w:r>
        <w:rPr>
          <w:rFonts w:cstheme="minorHAnsi"/>
        </w:rPr>
        <w:t xml:space="preserve"> 3 niniejszego paragrafu </w:t>
      </w:r>
      <w:r>
        <w:rPr>
          <w:rFonts w:cstheme="minorHAnsi"/>
          <w:color w:val="000000" w:themeColor="text1"/>
        </w:rPr>
        <w:t xml:space="preserve">oraz § 39. ust. 2 i 3. </w:t>
      </w:r>
    </w:p>
    <w:p w:rsidR="00571B71" w:rsidRDefault="00571B71" w:rsidP="00571B71">
      <w:pPr>
        <w:numPr>
          <w:ilvl w:val="0"/>
          <w:numId w:val="4"/>
        </w:numPr>
        <w:tabs>
          <w:tab w:val="clear" w:pos="360"/>
          <w:tab w:val="num" w:pos="1418"/>
        </w:tabs>
        <w:spacing w:after="0" w:line="360" w:lineRule="auto"/>
        <w:ind w:left="1418" w:hanging="284"/>
        <w:jc w:val="both"/>
        <w:rPr>
          <w:rFonts w:cstheme="minorHAnsi"/>
        </w:rPr>
      </w:pPr>
      <w:r>
        <w:rPr>
          <w:rFonts w:cstheme="minorHAnsi"/>
        </w:rPr>
        <w:t>Jeżeli kilku kandydatów uzyskało tę samą najmniejszą wymaganą liczbę głosów, do kolejnej tury przechodzą wszyscy ci kandydaci, z zastrzeżeniem §39. ust. 2 i 3.</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 xml:space="preserve">e) w </w:t>
      </w:r>
      <w:r>
        <w:rPr>
          <w:rFonts w:cstheme="minorHAnsi"/>
        </w:rPr>
        <w:t>§</w:t>
      </w:r>
      <w:r>
        <w:rPr>
          <w:rFonts w:cstheme="minorHAnsi"/>
          <w:color w:val="000000" w:themeColor="text1"/>
        </w:rPr>
        <w:t xml:space="preserve"> 19 pkt 4 po wyrazach „rejestru zgłoszeń,” dodaje się wyrazy „</w:t>
      </w:r>
      <w:r>
        <w:rPr>
          <w:rFonts w:cstheme="minorHAnsi"/>
        </w:rPr>
        <w:t>z wyłączeniem wzorów w wyborach do senatu w grupie studentów i doktorantów,”;</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 xml:space="preserve">f) w </w:t>
      </w:r>
      <w:r>
        <w:rPr>
          <w:rFonts w:cstheme="minorHAnsi"/>
        </w:rPr>
        <w:t>§</w:t>
      </w:r>
      <w:r>
        <w:rPr>
          <w:rFonts w:cstheme="minorHAnsi"/>
          <w:color w:val="000000" w:themeColor="text1"/>
        </w:rPr>
        <w:t xml:space="preserve"> 26 ust. 2 otrzymuje brzmienie:</w:t>
      </w:r>
    </w:p>
    <w:p w:rsidR="00571B71" w:rsidRDefault="00571B71" w:rsidP="00571B71">
      <w:pPr>
        <w:spacing w:after="0" w:line="360" w:lineRule="auto"/>
        <w:ind w:left="360" w:firstLine="774"/>
        <w:jc w:val="both"/>
        <w:rPr>
          <w:rFonts w:cstheme="minorHAnsi"/>
          <w:sz w:val="24"/>
          <w:szCs w:val="24"/>
        </w:rPr>
      </w:pPr>
      <w:r>
        <w:rPr>
          <w:rFonts w:cstheme="minorHAnsi"/>
          <w:color w:val="000000" w:themeColor="text1"/>
        </w:rPr>
        <w:t xml:space="preserve">„2. </w:t>
      </w:r>
      <w:r>
        <w:rPr>
          <w:rFonts w:cstheme="minorHAnsi"/>
          <w:sz w:val="24"/>
          <w:szCs w:val="24"/>
        </w:rPr>
        <w:t xml:space="preserve">Członkostwo w UKE wygasa w przypadku: </w:t>
      </w:r>
    </w:p>
    <w:p w:rsidR="00571B71" w:rsidRDefault="00571B71" w:rsidP="00571B71">
      <w:pPr>
        <w:pStyle w:val="Akapitzlist"/>
        <w:spacing w:after="0" w:line="360" w:lineRule="auto"/>
        <w:ind w:left="1560" w:hanging="284"/>
        <w:rPr>
          <w:rFonts w:cstheme="minorHAnsi"/>
          <w:sz w:val="24"/>
          <w:szCs w:val="24"/>
        </w:rPr>
      </w:pPr>
      <w:r>
        <w:rPr>
          <w:rFonts w:cstheme="minorHAnsi"/>
          <w:sz w:val="24"/>
          <w:szCs w:val="24"/>
        </w:rPr>
        <w:t>1) zaprzestania spełniania wymagań, o których mowa w ust. 1 oraz w § 25 ust. 1,</w:t>
      </w:r>
    </w:p>
    <w:p w:rsidR="00571B71" w:rsidRDefault="00571B71" w:rsidP="00571B71">
      <w:pPr>
        <w:pStyle w:val="Akapitzlist"/>
        <w:spacing w:after="0" w:line="360" w:lineRule="auto"/>
        <w:ind w:left="1560" w:hanging="284"/>
        <w:rPr>
          <w:rFonts w:cstheme="minorHAnsi"/>
          <w:sz w:val="24"/>
          <w:szCs w:val="24"/>
        </w:rPr>
      </w:pPr>
      <w:r>
        <w:rPr>
          <w:rFonts w:cstheme="minorHAnsi"/>
          <w:sz w:val="24"/>
          <w:szCs w:val="24"/>
        </w:rPr>
        <w:t>2) rezygnacji z członkostwa</w:t>
      </w:r>
    </w:p>
    <w:p w:rsidR="00571B71" w:rsidRDefault="00571B71" w:rsidP="00571B71">
      <w:pPr>
        <w:pStyle w:val="Akapitzlist"/>
        <w:spacing w:after="0" w:line="360" w:lineRule="auto"/>
        <w:ind w:left="1560" w:hanging="284"/>
        <w:rPr>
          <w:rFonts w:cstheme="minorHAnsi"/>
          <w:sz w:val="24"/>
          <w:szCs w:val="24"/>
        </w:rPr>
      </w:pPr>
      <w:r>
        <w:rPr>
          <w:rFonts w:cstheme="minorHAnsi"/>
          <w:sz w:val="24"/>
          <w:szCs w:val="24"/>
        </w:rPr>
        <w:t>3) śmierci,</w:t>
      </w:r>
    </w:p>
    <w:p w:rsidR="00571B71" w:rsidRDefault="00571B71" w:rsidP="00571B71">
      <w:pPr>
        <w:pStyle w:val="Akapitzlist"/>
        <w:spacing w:after="0" w:line="360" w:lineRule="auto"/>
        <w:ind w:left="1560" w:hanging="284"/>
        <w:rPr>
          <w:rFonts w:cstheme="minorHAnsi"/>
          <w:sz w:val="24"/>
          <w:szCs w:val="24"/>
        </w:rPr>
      </w:pPr>
      <w:r>
        <w:rPr>
          <w:rFonts w:cstheme="minorHAnsi"/>
          <w:sz w:val="24"/>
          <w:szCs w:val="24"/>
        </w:rPr>
        <w:t>4) przejścia na inny wydział,</w:t>
      </w:r>
    </w:p>
    <w:p w:rsidR="00571B71" w:rsidRDefault="00571B71" w:rsidP="00571B71">
      <w:pPr>
        <w:pStyle w:val="Akapitzlist"/>
        <w:spacing w:after="0" w:line="360" w:lineRule="auto"/>
        <w:ind w:left="1560" w:hanging="284"/>
        <w:rPr>
          <w:rFonts w:cstheme="minorHAnsi"/>
          <w:sz w:val="24"/>
          <w:szCs w:val="24"/>
        </w:rPr>
      </w:pPr>
      <w:r>
        <w:rPr>
          <w:rFonts w:cstheme="minorHAnsi"/>
          <w:snapToGrid w:val="0"/>
          <w:sz w:val="24"/>
          <w:szCs w:val="24"/>
        </w:rPr>
        <w:t>5) przejścia do innej grupy społeczności akademickiej, określonej w § 27 ust. 1 i 2, z zastrzeżeniem ust 3.”;</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g) § 28 otrzymuje brzmienie:</w:t>
      </w:r>
    </w:p>
    <w:p w:rsidR="00571B71" w:rsidRDefault="00571B71" w:rsidP="00571B71">
      <w:pPr>
        <w:pStyle w:val="Akapitzlist"/>
        <w:spacing w:after="0" w:line="360" w:lineRule="auto"/>
        <w:ind w:left="426" w:firstLine="567"/>
        <w:rPr>
          <w:rFonts w:cstheme="minorHAnsi"/>
        </w:rPr>
      </w:pPr>
      <w:r>
        <w:rPr>
          <w:rFonts w:cstheme="minorHAnsi"/>
          <w:color w:val="000000" w:themeColor="text1"/>
        </w:rPr>
        <w:t>„</w:t>
      </w:r>
      <w:r>
        <w:rPr>
          <w:rFonts w:cstheme="minorHAnsi"/>
        </w:rPr>
        <w:t>§ 28 (prawo zgłaszania kandydatów)</w:t>
      </w:r>
    </w:p>
    <w:p w:rsidR="00571B71" w:rsidRDefault="00571B71" w:rsidP="00571B71">
      <w:pPr>
        <w:pStyle w:val="Akapitzlist"/>
        <w:spacing w:after="0" w:line="360" w:lineRule="auto"/>
        <w:ind w:left="993"/>
        <w:rPr>
          <w:rFonts w:cstheme="minorHAnsi"/>
        </w:rPr>
      </w:pPr>
      <w:r>
        <w:rPr>
          <w:rFonts w:cstheme="minorHAnsi"/>
        </w:rPr>
        <w:lastRenderedPageBreak/>
        <w:t>Prawo zgłaszania kandydatów na elektorów ma każdy członek wspólnoty Uczelni, w jednej z grup, o których mowa w § 27 ust. 1 i 2, do której należy.”;</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h) § 33 ust. 2 otrzymuje brzmienie:</w:t>
      </w:r>
    </w:p>
    <w:p w:rsidR="00571B71" w:rsidRDefault="00571B71" w:rsidP="00571B71">
      <w:pPr>
        <w:spacing w:after="0" w:line="360" w:lineRule="auto"/>
        <w:ind w:left="993"/>
        <w:jc w:val="both"/>
        <w:rPr>
          <w:rFonts w:cstheme="minorHAnsi"/>
        </w:rPr>
      </w:pPr>
      <w:r>
        <w:rPr>
          <w:rFonts w:cstheme="minorHAnsi"/>
          <w:color w:val="000000" w:themeColor="text1"/>
        </w:rPr>
        <w:t xml:space="preserve">„2. </w:t>
      </w:r>
      <w:r>
        <w:rPr>
          <w:rFonts w:cstheme="minorHAnsi"/>
        </w:rPr>
        <w:t>Zgłaszanie kandydatów na elektorów w poszczególnych grupach zostaje zamknięte z chwilą upływu terminu określonego w kalendarzu wyborczym lub dodatkowego terminu wyznaczonego przez UKW, zgodnie z § 13.”;</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i) w § 39 uchyla się ust. 1;</w:t>
      </w:r>
    </w:p>
    <w:p w:rsidR="00571B71" w:rsidRDefault="00571B71" w:rsidP="00571B71">
      <w:pPr>
        <w:spacing w:after="0" w:line="360" w:lineRule="auto"/>
        <w:ind w:left="993" w:hanging="284"/>
        <w:jc w:val="both"/>
        <w:rPr>
          <w:rFonts w:cstheme="minorHAnsi"/>
        </w:rPr>
      </w:pPr>
      <w:r>
        <w:rPr>
          <w:rFonts w:cstheme="minorHAnsi"/>
          <w:color w:val="000000" w:themeColor="text1"/>
        </w:rPr>
        <w:t xml:space="preserve">j) tytuł § 43a otrzymuje brzmienie </w:t>
      </w:r>
      <w:r>
        <w:rPr>
          <w:rFonts w:cstheme="minorHAnsi"/>
        </w:rPr>
        <w:t>„(głosowania UKE w systemie elektronicznym)”;</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k) w § 48 ust. 4 otrzymuje brzmienie:</w:t>
      </w:r>
    </w:p>
    <w:p w:rsidR="00571B71" w:rsidRDefault="00571B71" w:rsidP="00571B71">
      <w:pPr>
        <w:spacing w:after="0" w:line="360" w:lineRule="auto"/>
        <w:ind w:left="1276" w:hanging="283"/>
        <w:jc w:val="both"/>
        <w:rPr>
          <w:rFonts w:cstheme="minorHAnsi"/>
        </w:rPr>
      </w:pPr>
      <w:r>
        <w:rPr>
          <w:rFonts w:cstheme="minorHAnsi"/>
          <w:color w:val="000000" w:themeColor="text1"/>
        </w:rPr>
        <w:t xml:space="preserve">„4. </w:t>
      </w:r>
      <w:r>
        <w:rPr>
          <w:rFonts w:cstheme="minorHAnsi"/>
        </w:rPr>
        <w:t>Przewodniczącego oraz zastępcę przewodniczącego UKE wybierają elektorzy spośród siebie zwykłą większością głosów w głosowaniu tajnym. Przepisy § 14 ust. 2 i 3 stosuje się odpowiednio.”,</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l) w § 50a ust. 5 otrzymuje brzmienie:</w:t>
      </w:r>
    </w:p>
    <w:p w:rsidR="00571B71" w:rsidRDefault="00571B71" w:rsidP="00571B71">
      <w:pPr>
        <w:pStyle w:val="Akapitzlist"/>
        <w:spacing w:after="0" w:line="360" w:lineRule="auto"/>
        <w:ind w:left="993"/>
        <w:jc w:val="both"/>
        <w:rPr>
          <w:rFonts w:cstheme="minorHAnsi"/>
        </w:rPr>
      </w:pPr>
      <w:r>
        <w:rPr>
          <w:rFonts w:cstheme="minorHAnsi"/>
          <w:color w:val="000000" w:themeColor="text1"/>
        </w:rPr>
        <w:t xml:space="preserve">„5. </w:t>
      </w:r>
      <w:r>
        <w:rPr>
          <w:rFonts w:cstheme="minorHAnsi"/>
        </w:rPr>
        <w:t>Wybór przewodniczącego i zastępcy przewodniczącego UKE następuje zwykłą większością głosów, w głosowaniu tajnym. Przepisy § 14 ust. 2 i 3 stosuje się odpowiednio.”,</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ł) w § 54 ust. 2 otrzymuje brzmienie:</w:t>
      </w:r>
    </w:p>
    <w:p w:rsidR="00571B71" w:rsidRDefault="00571B71" w:rsidP="00571B71">
      <w:pPr>
        <w:spacing w:after="0" w:line="360" w:lineRule="auto"/>
        <w:ind w:left="993"/>
        <w:jc w:val="both"/>
        <w:rPr>
          <w:rFonts w:cstheme="minorHAnsi"/>
          <w:sz w:val="24"/>
          <w:szCs w:val="24"/>
        </w:rPr>
      </w:pPr>
      <w:r>
        <w:rPr>
          <w:rFonts w:cstheme="minorHAnsi"/>
          <w:color w:val="000000" w:themeColor="text1"/>
        </w:rPr>
        <w:t xml:space="preserve">„2. </w:t>
      </w:r>
      <w:r>
        <w:rPr>
          <w:rFonts w:cstheme="minorHAnsi"/>
          <w:sz w:val="24"/>
          <w:szCs w:val="24"/>
        </w:rPr>
        <w:t>Przepisy § 26 ust. 3 zdanie drugie i trzecie, § 31 i § 32 niniejszego regulaminu stosuje się odpowiednio.”;</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m) w § 55 ust. 1 otrzymuje brzmienie:</w:t>
      </w:r>
    </w:p>
    <w:p w:rsidR="00571B71" w:rsidRDefault="00571B71" w:rsidP="00571B71">
      <w:pPr>
        <w:spacing w:after="0" w:line="360" w:lineRule="auto"/>
        <w:ind w:left="993"/>
        <w:jc w:val="both"/>
        <w:rPr>
          <w:rFonts w:cstheme="minorHAnsi"/>
        </w:rPr>
      </w:pPr>
      <w:r>
        <w:rPr>
          <w:rFonts w:cstheme="minorHAnsi"/>
          <w:color w:val="000000" w:themeColor="text1"/>
        </w:rPr>
        <w:t xml:space="preserve">„1. </w:t>
      </w:r>
      <w:r>
        <w:rPr>
          <w:rFonts w:cstheme="minorHAnsi"/>
          <w:spacing w:val="-4"/>
        </w:rPr>
        <w:t>Po upływie terminu zgłaszania kandydatów do senatu komisja wyborcza sporządza listę kandydatów w układzie alfabetycznym (z podaniem stanowiska i jednostki organizacyjnej) z podziałem na poszczególne grupy. Listę</w:t>
      </w:r>
      <w:r>
        <w:rPr>
          <w:rFonts w:cstheme="minorHAnsi"/>
        </w:rPr>
        <w:t xml:space="preserve"> zamieszcza się na stronie internetowej Uczelni w zakładce „WYBORY”.”;</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n) w § 56 ust. 1b  otrzymuje brzmienie:</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„1b. Nauczyciele akademiccy zatrudnieni w filiach, ogólnouczelnianych jednostkach organizacyjnych lub innych jednostkach organizacyjnych, o których mowa w § 11 ust. 1 pkt 5 funkcjonujących poza wydziałem, zgłaszają kandydatów, kandydują i głosują w swojej grupie zatrudnienia, o której mowa w ust. 1 pkt 1 lub 2, w ramach WL.”;</w:t>
      </w:r>
    </w:p>
    <w:p w:rsidR="00571B71" w:rsidRDefault="00571B71" w:rsidP="00571B71">
      <w:pPr>
        <w:spacing w:after="0" w:line="360" w:lineRule="auto"/>
        <w:ind w:left="993" w:hanging="284"/>
        <w:jc w:val="both"/>
        <w:rPr>
          <w:rFonts w:cstheme="minorHAnsi"/>
          <w:color w:val="000000" w:themeColor="text1"/>
        </w:rPr>
      </w:pPr>
      <w:r>
        <w:rPr>
          <w:rFonts w:cstheme="minorHAnsi"/>
          <w:color w:val="000000" w:themeColor="text1"/>
        </w:rPr>
        <w:t>o) § 58 otrzymuje brzmienie:</w:t>
      </w:r>
    </w:p>
    <w:p w:rsidR="00571B71" w:rsidRDefault="00571B71" w:rsidP="00571B71">
      <w:pPr>
        <w:spacing w:after="0" w:line="360" w:lineRule="auto"/>
        <w:ind w:left="993"/>
        <w:jc w:val="both"/>
        <w:rPr>
          <w:rFonts w:cstheme="minorHAnsi"/>
          <w:color w:val="000000" w:themeColor="text1"/>
        </w:rPr>
      </w:pPr>
      <w:r>
        <w:rPr>
          <w:rFonts w:cstheme="minorHAnsi"/>
          <w:color w:val="000000" w:themeColor="text1"/>
        </w:rPr>
        <w:t xml:space="preserve">„§ 58 </w:t>
      </w:r>
      <w:r>
        <w:rPr>
          <w:rFonts w:cstheme="minorHAnsi"/>
          <w:color w:val="000000" w:themeColor="text1"/>
          <w:spacing w:val="-4"/>
        </w:rPr>
        <w:t>Przedstawiciele do senatu są wybierani w wyborach tajnych, bezpośrednich, w obrębie grup wspólnoty Uczelni.”.</w:t>
      </w:r>
    </w:p>
    <w:p w:rsidR="006A4CCD" w:rsidRDefault="006A4CCD"/>
    <w:sectPr w:rsidR="006A4CCD" w:rsidSect="00571B7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15B7"/>
    <w:multiLevelType w:val="singleLevel"/>
    <w:tmpl w:val="0F3E10A6"/>
    <w:lvl w:ilvl="0">
      <w:start w:val="1"/>
      <w:numFmt w:val="decimal"/>
      <w:lvlText w:val="%1."/>
      <w:lvlJc w:val="left"/>
      <w:pPr>
        <w:tabs>
          <w:tab w:val="num" w:pos="360"/>
        </w:tabs>
        <w:ind w:left="360" w:hanging="360"/>
      </w:pPr>
    </w:lvl>
  </w:abstractNum>
  <w:abstractNum w:abstractNumId="1">
    <w:nsid w:val="143B578E"/>
    <w:multiLevelType w:val="singleLevel"/>
    <w:tmpl w:val="0F3E10A6"/>
    <w:lvl w:ilvl="0">
      <w:start w:val="1"/>
      <w:numFmt w:val="decimal"/>
      <w:lvlText w:val="%1."/>
      <w:lvlJc w:val="left"/>
      <w:pPr>
        <w:tabs>
          <w:tab w:val="num" w:pos="360"/>
        </w:tabs>
        <w:ind w:left="360" w:hanging="360"/>
      </w:pPr>
    </w:lvl>
  </w:abstractNum>
  <w:abstractNum w:abstractNumId="2">
    <w:nsid w:val="31774ED6"/>
    <w:multiLevelType w:val="singleLevel"/>
    <w:tmpl w:val="0F3E10A6"/>
    <w:lvl w:ilvl="0">
      <w:start w:val="1"/>
      <w:numFmt w:val="decimal"/>
      <w:lvlText w:val="%1."/>
      <w:lvlJc w:val="left"/>
      <w:pPr>
        <w:tabs>
          <w:tab w:val="num" w:pos="360"/>
        </w:tabs>
        <w:ind w:left="360" w:hanging="360"/>
      </w:pPr>
    </w:lvl>
  </w:abstractNum>
  <w:abstractNum w:abstractNumId="3">
    <w:nsid w:val="4DA15AC6"/>
    <w:multiLevelType w:val="hybridMultilevel"/>
    <w:tmpl w:val="E98E9F04"/>
    <w:lvl w:ilvl="0" w:tplc="DD96847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71"/>
    <w:rsid w:val="00571B71"/>
    <w:rsid w:val="006A4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71"/>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1B71"/>
    <w:pPr>
      <w:ind w:left="720"/>
      <w:contextualSpacing/>
    </w:pPr>
  </w:style>
  <w:style w:type="paragraph" w:customStyle="1" w:styleId="StandardowyStandardowy1">
    <w:name w:val="Standardowy.Standardowy1"/>
    <w:rsid w:val="00571B71"/>
    <w:pPr>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71"/>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1B71"/>
    <w:pPr>
      <w:ind w:left="720"/>
      <w:contextualSpacing/>
    </w:pPr>
  </w:style>
  <w:style w:type="paragraph" w:customStyle="1" w:styleId="StandardowyStandardowy1">
    <w:name w:val="Standardowy.Standardowy1"/>
    <w:rsid w:val="00571B7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9272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Uczelni</dc:creator>
  <cp:lastModifiedBy>MKrystyniak</cp:lastModifiedBy>
  <cp:revision>1</cp:revision>
  <dcterms:created xsi:type="dcterms:W3CDTF">2023-10-03T06:47:00Z</dcterms:created>
  <dcterms:modified xsi:type="dcterms:W3CDTF">2023-10-03T06:48:00Z</dcterms:modified>
</cp:coreProperties>
</file>