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79" w:rsidRPr="00A5354B" w:rsidRDefault="00A5354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354B">
        <w:rPr>
          <w:rFonts w:ascii="Times New Roman" w:hAnsi="Times New Roman" w:cs="Times New Roman"/>
          <w:b/>
          <w:sz w:val="24"/>
          <w:szCs w:val="24"/>
        </w:rPr>
        <w:t>IV rok PEDIATRIA</w:t>
      </w:r>
    </w:p>
    <w:p w:rsidR="00A5354B" w:rsidRPr="00A5354B" w:rsidRDefault="00A5354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Tematy seminariów:  </w:t>
      </w:r>
    </w:p>
    <w:p w:rsidR="00A5354B" w:rsidRPr="00A5354B" w:rsidRDefault="00A5354B" w:rsidP="00A535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54B">
        <w:rPr>
          <w:rFonts w:ascii="Times New Roman" w:hAnsi="Times New Roman" w:cs="Times New Roman"/>
          <w:sz w:val="24"/>
          <w:szCs w:val="24"/>
          <w:shd w:val="clear" w:color="auto" w:fill="FFFFFF"/>
        </w:rPr>
        <w:t>Zakażenie układu moczowego: diagnostyka, objawy kliniczne, leczenie</w:t>
      </w:r>
    </w:p>
    <w:p w:rsidR="00A5354B" w:rsidRPr="00A5354B" w:rsidRDefault="00A5354B" w:rsidP="00A535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54B">
        <w:rPr>
          <w:rFonts w:ascii="Times New Roman" w:hAnsi="Times New Roman" w:cs="Times New Roman"/>
          <w:sz w:val="24"/>
          <w:szCs w:val="24"/>
          <w:shd w:val="clear" w:color="auto" w:fill="FFFFFF"/>
        </w:rPr>
        <w:t>Wady rozwojowe układu moczowego i ich następstwa, rozpoznawanie i leczenie.</w:t>
      </w:r>
    </w:p>
    <w:p w:rsidR="00A5354B" w:rsidRPr="00A5354B" w:rsidRDefault="00A5354B" w:rsidP="00A535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3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Nadciśnienie tętnicze: etiologia, rozpoznawanie, postępowanie diagnostyczne, postępowanie niefarmakologiczne, terapia farmakologiczna</w:t>
      </w:r>
    </w:p>
    <w:p w:rsidR="00A5354B" w:rsidRPr="00A5354B" w:rsidRDefault="00A5354B" w:rsidP="00A5354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54B">
        <w:rPr>
          <w:rFonts w:ascii="Times New Roman" w:hAnsi="Times New Roman" w:cs="Times New Roman"/>
          <w:sz w:val="24"/>
          <w:szCs w:val="24"/>
          <w:shd w:val="clear" w:color="auto" w:fill="FFFFFF"/>
        </w:rPr>
        <w:t>Tematy ćwiczeń:</w:t>
      </w:r>
    </w:p>
    <w:p w:rsidR="00A5354B" w:rsidRPr="00A5354B" w:rsidRDefault="00A5354B" w:rsidP="00A535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Zaburzenia czynności pęcherza moczowego i cewki moczowej, moczenie nocne. </w:t>
      </w:r>
    </w:p>
    <w:p w:rsidR="00A5354B" w:rsidRPr="00A5354B" w:rsidRDefault="00A5354B" w:rsidP="00A535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54B">
        <w:rPr>
          <w:rFonts w:ascii="Times New Roman" w:hAnsi="Times New Roman" w:cs="Times New Roman"/>
          <w:sz w:val="24"/>
          <w:szCs w:val="24"/>
          <w:shd w:val="clear" w:color="auto" w:fill="FFFFFF"/>
        </w:rPr>
        <w:t>Kamica układu moczowego –etiologia, postępowanie diagnostyczne i terapeutyczne, ocena  stanu zagrożenia kamicą.</w:t>
      </w:r>
    </w:p>
    <w:p w:rsidR="00A5354B" w:rsidRPr="00A5354B" w:rsidRDefault="00A5354B" w:rsidP="00A535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54B">
        <w:rPr>
          <w:rFonts w:ascii="Times New Roman" w:hAnsi="Times New Roman" w:cs="Times New Roman"/>
          <w:sz w:val="24"/>
          <w:szCs w:val="24"/>
          <w:shd w:val="clear" w:color="auto" w:fill="FFFFFF"/>
        </w:rPr>
        <w:t>Przewlekłe kłębuszkowe zapalenia nerek: patomorfologia, etiopatogeneza, przebieg kliniczny, metody leczenia. Idiopatyczny zespół nerczycowy –etiopatogeneza,  odmiany  morfologiczne,  obraz  kliniczny, rekomendowane metody leczenia pierwszego rzutu nerczycy, postępowanie w nawrocie choroby. Ostre kłębuszkowe zapalenie nerek: etiologia, przebieg kliniczny, leczenie.</w:t>
      </w:r>
    </w:p>
    <w:p w:rsidR="00A5354B" w:rsidRPr="00A5354B" w:rsidRDefault="00A5354B" w:rsidP="00A535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54B">
        <w:rPr>
          <w:rFonts w:ascii="Times New Roman" w:hAnsi="Times New Roman" w:cs="Times New Roman"/>
          <w:sz w:val="24"/>
          <w:szCs w:val="24"/>
          <w:shd w:val="clear" w:color="auto" w:fill="FFFFFF"/>
        </w:rPr>
        <w:t>Ostre uszkodzenie nerek: przyczyny, postacie kliniczne, rozpoznanie, obraz kliniczny i leczenie, wskazania do   dializoterapii. Zespół  hemolityczno-mocznicowy:   etiopatogeneza,   rozpoznanie,   obraz   kliniczny, leczenie.</w:t>
      </w:r>
    </w:p>
    <w:p w:rsidR="00A5354B" w:rsidRPr="00A5354B" w:rsidRDefault="00A5354B" w:rsidP="00A535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A535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rzewlekła  choroba  nerek,  przyczyny,  patogeneza,  obraz  kliniczny,  postępowanie  diagnostyczno-lecznicze  w  okresie  </w:t>
      </w:r>
      <w:proofErr w:type="spellStart"/>
      <w:r w:rsidRPr="00A5354B">
        <w:rPr>
          <w:rFonts w:ascii="Times New Roman" w:hAnsi="Times New Roman" w:cs="Times New Roman"/>
          <w:sz w:val="24"/>
          <w:szCs w:val="24"/>
          <w:shd w:val="clear" w:color="auto" w:fill="FFFFFF"/>
        </w:rPr>
        <w:t>przeddializacyjnym</w:t>
      </w:r>
      <w:proofErr w:type="spellEnd"/>
      <w:r w:rsidRPr="00A5354B">
        <w:rPr>
          <w:rFonts w:ascii="Times New Roman" w:hAnsi="Times New Roman" w:cs="Times New Roman"/>
          <w:sz w:val="24"/>
          <w:szCs w:val="24"/>
          <w:shd w:val="clear" w:color="auto" w:fill="FFFFFF"/>
        </w:rPr>
        <w:t>,  monitorowanie  postępu  choroby, przygotowanie do transplantacji nerki.</w:t>
      </w:r>
    </w:p>
    <w:p w:rsidR="00A5354B" w:rsidRDefault="00A5354B" w:rsidP="00A5354B">
      <w:pPr>
        <w:pStyle w:val="Akapitzlist"/>
      </w:pPr>
    </w:p>
    <w:sectPr w:rsidR="00A5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DA7"/>
    <w:multiLevelType w:val="hybridMultilevel"/>
    <w:tmpl w:val="C4B2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7E53"/>
    <w:multiLevelType w:val="hybridMultilevel"/>
    <w:tmpl w:val="5CCE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70C3"/>
    <w:multiLevelType w:val="hybridMultilevel"/>
    <w:tmpl w:val="5CCE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4B"/>
    <w:rsid w:val="006F1CBD"/>
    <w:rsid w:val="0080486D"/>
    <w:rsid w:val="00A5354B"/>
    <w:rsid w:val="00C80EE2"/>
    <w:rsid w:val="00D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knp-526-04</dc:creator>
  <cp:lastModifiedBy>user</cp:lastModifiedBy>
  <cp:revision>2</cp:revision>
  <cp:lastPrinted>2023-09-30T05:45:00Z</cp:lastPrinted>
  <dcterms:created xsi:type="dcterms:W3CDTF">2024-01-22T12:03:00Z</dcterms:created>
  <dcterms:modified xsi:type="dcterms:W3CDTF">2024-01-22T12:03:00Z</dcterms:modified>
</cp:coreProperties>
</file>