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0E" w:rsidRPr="009C50DB" w:rsidRDefault="009C61E0" w:rsidP="00F11E0E">
      <w:pPr>
        <w:pStyle w:val="Nagwek1"/>
        <w:keepLines/>
        <w:numPr>
          <w:ilvl w:val="0"/>
          <w:numId w:val="0"/>
        </w:numPr>
        <w:tabs>
          <w:tab w:val="left" w:pos="0"/>
        </w:tabs>
        <w:suppressAutoHyphens w:val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  <w:r w:rsidR="00F11E0E" w:rsidRPr="009C50DB">
        <w:rPr>
          <w:rFonts w:ascii="Calibri" w:hAnsi="Calibri" w:cs="Calibri"/>
          <w:b w:val="0"/>
          <w:sz w:val="22"/>
          <w:szCs w:val="22"/>
        </w:rPr>
        <w:t>Załącznik</w:t>
      </w:r>
      <w:r>
        <w:rPr>
          <w:rFonts w:ascii="Calibri" w:hAnsi="Calibri" w:cs="Calibri"/>
          <w:b w:val="0"/>
          <w:sz w:val="22"/>
          <w:szCs w:val="22"/>
        </w:rPr>
        <w:t xml:space="preserve"> nr 5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  <w:r w:rsidRPr="009C50DB">
        <w:rPr>
          <w:rFonts w:cs="Calibri"/>
        </w:rPr>
        <w:t>do zarządzenia nr</w:t>
      </w:r>
      <w:r w:rsidR="009C61E0">
        <w:rPr>
          <w:rFonts w:cs="Calibri"/>
        </w:rPr>
        <w:t xml:space="preserve"> 3</w:t>
      </w:r>
      <w:r w:rsidR="009333E8" w:rsidRPr="009C50DB">
        <w:rPr>
          <w:rFonts w:cs="Calibri"/>
        </w:rPr>
        <w:t>0</w:t>
      </w:r>
      <w:r w:rsidRPr="009C50DB">
        <w:rPr>
          <w:rFonts w:cs="Calibri"/>
        </w:rPr>
        <w:t>/XVI R/2024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cs="Calibri"/>
        </w:rPr>
      </w:pPr>
      <w:r w:rsidRPr="009C50DB">
        <w:rPr>
          <w:rFonts w:cs="Calibri"/>
        </w:rPr>
        <w:t>Rektora Uniwersytetu Medycznego we Wrocławiu</w:t>
      </w:r>
    </w:p>
    <w:p w:rsidR="00F11E0E" w:rsidRPr="009C50DB" w:rsidRDefault="00F11E0E" w:rsidP="00F11E0E">
      <w:pPr>
        <w:keepNext/>
        <w:keepLines/>
        <w:spacing w:after="240" w:line="240" w:lineRule="auto"/>
        <w:jc w:val="both"/>
        <w:rPr>
          <w:rFonts w:cs="Calibri"/>
        </w:rPr>
      </w:pPr>
      <w:r w:rsidRPr="009C50DB">
        <w:rPr>
          <w:rFonts w:cs="Calibri"/>
        </w:rPr>
        <w:t>z dnia</w:t>
      </w:r>
      <w:r w:rsidR="009C61E0">
        <w:rPr>
          <w:rFonts w:cs="Calibri"/>
        </w:rPr>
        <w:t xml:space="preserve"> 16 lutego</w:t>
      </w:r>
      <w:r w:rsidR="009333E8" w:rsidRPr="009C50DB">
        <w:rPr>
          <w:rFonts w:cs="Calibri"/>
        </w:rPr>
        <w:t xml:space="preserve"> </w:t>
      </w:r>
      <w:r w:rsidRPr="009C50DB">
        <w:rPr>
          <w:rFonts w:cs="Calibri"/>
        </w:rPr>
        <w:t>2024 r.</w:t>
      </w:r>
    </w:p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</w:t>
      </w:r>
      <w:r w:rsidR="009C50D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br/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(Dz. Urz. UE L 94 z 28.03.2014, str. 65, z </w:t>
      </w:r>
      <w:proofErr w:type="spellStart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późn</w:t>
      </w:r>
      <w:proofErr w:type="spellEnd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zakresie organizowania seminariów], 79952000-2 [Usługi w zakresie organizacji imprez], 79952100-3 [Usługi 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(i) zastępstwa prawnego klienta, 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</w:t>
            </w:r>
            <w:proofErr w:type="spellStart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ppkt</w:t>
            </w:r>
            <w:proofErr w:type="spellEnd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8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usługi w dziedzinie obrony cywilnej, ochrony ludności i zapobiegania niebezpieczeństwom, 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lastRenderedPageBreak/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jeżeli zorganizowane są jako usługi o charakterze nieekonomicznym świadczone w interesie ogólnym. Państwa członkowskie mogą organizować świadczenie obowiązkowych usług 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390205">
      <w:pPr>
        <w:rPr>
          <w:rFonts w:ascii="Calibri" w:hAnsi="Calibri" w:cs="Calibri"/>
        </w:rPr>
      </w:pPr>
    </w:p>
    <w:sectPr w:rsidR="00182CC4" w:rsidRPr="003C108E" w:rsidSect="003C108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5" w:rsidRDefault="00390205" w:rsidP="003C108E">
      <w:pPr>
        <w:spacing w:after="0" w:line="240" w:lineRule="auto"/>
      </w:pPr>
      <w:r>
        <w:separator/>
      </w:r>
    </w:p>
  </w:endnote>
  <w:endnote w:type="continuationSeparator" w:id="0">
    <w:p w:rsidR="00390205" w:rsidRDefault="00390205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5" w:rsidRDefault="00390205" w:rsidP="003C108E">
      <w:pPr>
        <w:spacing w:after="0" w:line="240" w:lineRule="auto"/>
      </w:pPr>
      <w:r>
        <w:separator/>
      </w:r>
    </w:p>
  </w:footnote>
  <w:footnote w:type="continuationSeparator" w:id="0">
    <w:p w:rsidR="00390205" w:rsidRDefault="00390205" w:rsidP="003C108E">
      <w:pPr>
        <w:spacing w:after="0" w:line="240" w:lineRule="auto"/>
      </w:pPr>
      <w:r>
        <w:continuationSeparator/>
      </w:r>
    </w:p>
  </w:footnote>
  <w:footnote w:id="1">
    <w:p w:rsidR="009C61E0" w:rsidRDefault="009C61E0">
      <w:pPr>
        <w:pStyle w:val="Tekstprzypisudolnego"/>
      </w:pPr>
      <w:r>
        <w:rPr>
          <w:rStyle w:val="Odwoanieprzypisudolnego"/>
        </w:rPr>
        <w:footnoteRef/>
      </w:r>
      <w:r>
        <w:t xml:space="preserve"> Załącznik </w:t>
      </w:r>
      <w:r w:rsidR="00FB7D3A">
        <w:t>dodany</w:t>
      </w:r>
      <w:bookmarkStart w:id="0" w:name="_GoBack"/>
      <w:bookmarkEnd w:id="0"/>
      <w:r>
        <w:t xml:space="preserve"> zarządzeniem nr 90/XVI R/2024 Rektora UMW z dnia 9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B"/>
    <w:rsid w:val="0009078E"/>
    <w:rsid w:val="000E3EA4"/>
    <w:rsid w:val="000E4FFF"/>
    <w:rsid w:val="00140E8B"/>
    <w:rsid w:val="001510A1"/>
    <w:rsid w:val="00390205"/>
    <w:rsid w:val="003C108E"/>
    <w:rsid w:val="00406B57"/>
    <w:rsid w:val="004A1FB2"/>
    <w:rsid w:val="004D1EB7"/>
    <w:rsid w:val="004D36F7"/>
    <w:rsid w:val="00577FDF"/>
    <w:rsid w:val="005F1515"/>
    <w:rsid w:val="006119B6"/>
    <w:rsid w:val="0065563C"/>
    <w:rsid w:val="00690E1D"/>
    <w:rsid w:val="007D314B"/>
    <w:rsid w:val="0081221F"/>
    <w:rsid w:val="009333E8"/>
    <w:rsid w:val="009C50DB"/>
    <w:rsid w:val="009C61E0"/>
    <w:rsid w:val="009D734B"/>
    <w:rsid w:val="00A36A2B"/>
    <w:rsid w:val="00AD08FE"/>
    <w:rsid w:val="00AF3439"/>
    <w:rsid w:val="00B129EA"/>
    <w:rsid w:val="00B2490E"/>
    <w:rsid w:val="00BE31DD"/>
    <w:rsid w:val="00C061AE"/>
    <w:rsid w:val="00D11A9C"/>
    <w:rsid w:val="00D6017E"/>
    <w:rsid w:val="00EF6384"/>
    <w:rsid w:val="00F11E0E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ACD1"/>
  <w15:docId w15:val="{8674693C-53B2-4925-80A4-C636CBD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0E1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0E1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90E1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90E1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90E1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90E1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90E1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90E1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90E1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  <w:style w:type="character" w:customStyle="1" w:styleId="Nagwek1Znak">
    <w:name w:val="Nagłówek 1 Znak"/>
    <w:basedOn w:val="Domylnaczcionkaakapitu"/>
    <w:link w:val="Nagwek1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90E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0E1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90E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90E1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90E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90E1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90E1D"/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1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1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Rektora nr 90/XVI R/2024</vt:lpstr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Rektora nr 30/XVI R/2024</dc:title>
  <dc:subject/>
  <dc:creator>Dział Zamówień Publicznych</dc:creator>
  <cp:keywords>zamówienia publiczne</cp:keywords>
  <dc:description/>
  <cp:lastModifiedBy>MKapera</cp:lastModifiedBy>
  <cp:revision>12</cp:revision>
  <cp:lastPrinted>2021-02-05T12:27:00Z</cp:lastPrinted>
  <dcterms:created xsi:type="dcterms:W3CDTF">2024-02-19T13:15:00Z</dcterms:created>
  <dcterms:modified xsi:type="dcterms:W3CDTF">2024-05-09T12:18:00Z</dcterms:modified>
</cp:coreProperties>
</file>