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F5" w:rsidRPr="00B84D9A" w:rsidRDefault="003644F5" w:rsidP="003644F5">
      <w:pPr>
        <w:pStyle w:val="Default"/>
        <w:spacing w:line="276" w:lineRule="auto"/>
        <w:rPr>
          <w:rFonts w:asciiTheme="minorHAnsi" w:hAnsiTheme="minorHAnsi" w:cstheme="minorHAnsi"/>
        </w:rPr>
      </w:pPr>
      <w:r w:rsidRPr="00B84D9A">
        <w:rPr>
          <w:rFonts w:asciiTheme="minorHAnsi" w:hAnsiTheme="minorHAnsi" w:cstheme="minorHAnsi"/>
        </w:rPr>
        <w:t>Załącznik do uchwały Nr</w:t>
      </w:r>
      <w:r>
        <w:rPr>
          <w:rFonts w:asciiTheme="minorHAnsi" w:hAnsiTheme="minorHAnsi" w:cstheme="minorHAnsi"/>
        </w:rPr>
        <w:t xml:space="preserve"> 12</w:t>
      </w:r>
      <w:r w:rsidRPr="00B84D9A">
        <w:rPr>
          <w:rFonts w:asciiTheme="minorHAnsi" w:hAnsiTheme="minorHAnsi" w:cstheme="minorHAnsi"/>
        </w:rPr>
        <w:t xml:space="preserve">/2024 </w:t>
      </w:r>
    </w:p>
    <w:p w:rsidR="003644F5" w:rsidRPr="00B84D9A" w:rsidRDefault="003644F5" w:rsidP="003644F5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B84D9A">
        <w:rPr>
          <w:rFonts w:cstheme="minorHAnsi"/>
          <w:color w:val="000000"/>
          <w:sz w:val="24"/>
          <w:szCs w:val="24"/>
        </w:rPr>
        <w:t xml:space="preserve">Rady Uczelni Uniwersytetu Medycznego we Wrocławiu </w:t>
      </w:r>
    </w:p>
    <w:p w:rsidR="003644F5" w:rsidRPr="00B84D9A" w:rsidRDefault="003644F5" w:rsidP="003644F5">
      <w:pPr>
        <w:spacing w:after="480" w:line="276" w:lineRule="auto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5 września </w:t>
      </w:r>
      <w:r w:rsidRPr="00B84D9A">
        <w:rPr>
          <w:rFonts w:cstheme="minorHAnsi"/>
          <w:sz w:val="24"/>
          <w:szCs w:val="24"/>
        </w:rPr>
        <w:t>2024 r.</w:t>
      </w:r>
    </w:p>
    <w:p w:rsidR="003644F5" w:rsidRPr="008A580E" w:rsidRDefault="003644F5" w:rsidP="003644F5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B84D9A">
        <w:rPr>
          <w:rFonts w:cstheme="minorHAnsi"/>
          <w:sz w:val="24"/>
          <w:szCs w:val="24"/>
        </w:rPr>
        <w:t>W statucie Uniwersytetu Medycznego im. Piastów Śląskich we Wrocławiu (</w:t>
      </w:r>
      <w:proofErr w:type="spellStart"/>
      <w:r w:rsidRPr="00B84D9A">
        <w:rPr>
          <w:rFonts w:cstheme="minorHAnsi"/>
          <w:sz w:val="24"/>
          <w:szCs w:val="24"/>
        </w:rPr>
        <w:t>t.j</w:t>
      </w:r>
      <w:proofErr w:type="spellEnd"/>
      <w:r w:rsidRPr="00B84D9A">
        <w:rPr>
          <w:rFonts w:cstheme="minorHAnsi"/>
          <w:sz w:val="24"/>
          <w:szCs w:val="24"/>
        </w:rPr>
        <w:t xml:space="preserve">. załącznik do uchwały nr 2349 Senatu Uniwersytetu Medycznego im. Piastów Śląskich we Wrocławiu z dnia 27 października 2021 r. ze zm.), </w:t>
      </w:r>
      <w:r w:rsidRPr="008A580E">
        <w:rPr>
          <w:rFonts w:cstheme="minorHAnsi"/>
          <w:sz w:val="24"/>
          <w:szCs w:val="24"/>
        </w:rPr>
        <w:t>wprowadza się następujące zmiany:</w:t>
      </w:r>
    </w:p>
    <w:p w:rsidR="003644F5" w:rsidRPr="008A580E" w:rsidRDefault="003644F5" w:rsidP="003644F5">
      <w:pPr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A580E">
        <w:rPr>
          <w:rFonts w:cstheme="minorHAnsi"/>
          <w:b/>
          <w:bCs/>
          <w:sz w:val="24"/>
          <w:szCs w:val="24"/>
        </w:rPr>
        <w:t>§ 1.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A580E">
        <w:t>w § 12 ust. 1 zdanie ostatnie, wyrazy: „w pkt 1, 1a</w:t>
      </w:r>
      <w:r w:rsidRPr="00346C72">
        <w:t>, 3 i 4” zastępuje się wyrazami: „w pkt 1, 1a, 3, 3a i 4”</w:t>
      </w:r>
      <w:r>
        <w:t>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</w:t>
      </w:r>
      <w:r w:rsidRPr="00346C72">
        <w:t xml:space="preserve">§ 36 ust. 3 pkt </w:t>
      </w:r>
      <w:r>
        <w:t>8</w:t>
      </w:r>
      <w:r w:rsidRPr="00346C72">
        <w:t xml:space="preserve"> otrzymuje następujące brzmienie: „</w:t>
      </w:r>
      <w:r>
        <w:t xml:space="preserve">8) </w:t>
      </w:r>
      <w:r w:rsidRPr="00346C72">
        <w:t xml:space="preserve">powoływanie i odwoływanie komisji rektorskich oraz członków tych komisji spośród: </w:t>
      </w:r>
      <w:r>
        <w:t>pracowników Uczelni,</w:t>
      </w:r>
      <w:r w:rsidRPr="00346C72">
        <w:t xml:space="preserve"> studentów </w:t>
      </w:r>
      <w:r>
        <w:br/>
      </w:r>
      <w:r w:rsidRPr="00346C72">
        <w:t>i doktorantów kształcących się w szkole doktorskiej</w:t>
      </w:r>
      <w:r>
        <w:t xml:space="preserve"> oraz osób spoza wspólnoty Uczelni</w:t>
      </w:r>
      <w:r w:rsidRPr="00346C72">
        <w:t>,</w:t>
      </w:r>
      <w:r>
        <w:t>”;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</w:pPr>
      <w:r>
        <w:t>w § 42 uchyla się ust. 4;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w § 43 ust. 2 otrzymuje następujące brzmienie: </w:t>
      </w:r>
    </w:p>
    <w:p w:rsidR="003644F5" w:rsidRDefault="003644F5" w:rsidP="003644F5">
      <w:pPr>
        <w:pStyle w:val="Akapitzlist"/>
        <w:spacing w:after="0" w:line="360" w:lineRule="auto"/>
        <w:jc w:val="both"/>
      </w:pPr>
      <w:r>
        <w:t xml:space="preserve">„2. Podmioty, o których mowa w ust. 1, wskazują nie więcej niż trzech kandydatów ze wspólnoty Uczelni i nie więcej niż pięciu kandydatów spoza wspólnoty Uczelni, </w:t>
      </w:r>
      <w:r>
        <w:br/>
        <w:t>z uwzględnieniem warunków, o których mowa w § 42 ust. 2.”;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</w:pPr>
      <w:r>
        <w:t>w § 43 ust. 3 wyrazy: „§ 42 ust. 2 i 4” zastępuje się wyrazami: „§ 42 ust. 2”;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346C72">
        <w:t xml:space="preserve"> § 43 ust. 4 zdanie drugie wykreśla się wyrazy: „oraz zgodę na przetwarzanie danych osobowych w celu przeprowadzenia wyborów”</w:t>
      </w:r>
      <w:r>
        <w:t>;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0" w:line="360" w:lineRule="auto"/>
      </w:pPr>
      <w:r>
        <w:t>w § 44 ust. 2 zdanie pierwsze otrzymuje następujące brzmienie:</w:t>
      </w:r>
    </w:p>
    <w:p w:rsidR="003644F5" w:rsidRDefault="003644F5" w:rsidP="003644F5">
      <w:pPr>
        <w:pStyle w:val="Akapitzlist"/>
        <w:spacing w:after="0" w:line="360" w:lineRule="auto"/>
      </w:pPr>
      <w:r>
        <w:t>„Głosowania odbywają się na kartach do głosowania zawierających nazwiska kandydatów według kolejności alfabetycznej, osobnych dla każdej grupy, o której mowa w § 42 ust. 1 pkt 1, tj. dla grupy osób pochodzących ze wspólnoty Uczelni oraz dla grupy osób spoza wspólnoty Uczelni.”;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</w:pPr>
      <w:r>
        <w:t>w § 44 w ust. 5 wyrazy: „w § 42 ust. 1 i 4” otrzymują brzmienie: „w § 42 ust. 1 pkt 1”;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346C72">
        <w:t xml:space="preserve"> § 48 ust. 2 wyrazy: „w art. 20 ust. 1-5 i 7” zastępuje się wyrazami: „w art. 20 ust. 1 pkt 1-5 i 7”</w:t>
      </w:r>
      <w:r>
        <w:t>;</w:t>
      </w:r>
    </w:p>
    <w:p w:rsidR="003644F5" w:rsidRPr="00071EE0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071EE0">
        <w:t xml:space="preserve"> § 55 ust. 1 otrzymuje brzmienie:</w:t>
      </w:r>
    </w:p>
    <w:p w:rsidR="003644F5" w:rsidRPr="00721159" w:rsidRDefault="003644F5" w:rsidP="003644F5">
      <w:pPr>
        <w:pStyle w:val="Akapitzlist"/>
        <w:spacing w:after="0" w:line="360" w:lineRule="auto"/>
        <w:jc w:val="both"/>
      </w:pPr>
      <w:r w:rsidRPr="00721159">
        <w:t xml:space="preserve">„1. W Uczelni funkcjonują następujące rady dyscyplin: </w:t>
      </w:r>
    </w:p>
    <w:p w:rsidR="003644F5" w:rsidRPr="00721159" w:rsidRDefault="003644F5" w:rsidP="003644F5">
      <w:pPr>
        <w:pStyle w:val="Akapitzlist"/>
        <w:numPr>
          <w:ilvl w:val="1"/>
          <w:numId w:val="11"/>
        </w:numPr>
        <w:suppressAutoHyphens/>
        <w:autoSpaceDN w:val="0"/>
        <w:spacing w:after="0" w:line="360" w:lineRule="auto"/>
        <w:ind w:left="851" w:firstLine="142"/>
        <w:contextualSpacing w:val="0"/>
        <w:jc w:val="both"/>
        <w:textAlignment w:val="baseline"/>
      </w:pPr>
      <w:r w:rsidRPr="00721159">
        <w:t xml:space="preserve"> Rada Dyscypliny Nauki Medyczne, w skład której wchodzi 60 członków, </w:t>
      </w:r>
      <w:r w:rsidRPr="00721159">
        <w:br/>
        <w:t xml:space="preserve">w tym: </w:t>
      </w:r>
    </w:p>
    <w:p w:rsidR="003644F5" w:rsidRPr="00721159" w:rsidRDefault="003644F5" w:rsidP="003644F5">
      <w:pPr>
        <w:pStyle w:val="Akapitzlist"/>
        <w:numPr>
          <w:ilvl w:val="1"/>
          <w:numId w:val="12"/>
        </w:numPr>
        <w:tabs>
          <w:tab w:val="left" w:pos="1418"/>
        </w:tabs>
        <w:suppressAutoHyphens/>
        <w:autoSpaceDN w:val="0"/>
        <w:spacing w:after="0" w:line="360" w:lineRule="auto"/>
        <w:ind w:left="1418" w:hanging="284"/>
        <w:contextualSpacing w:val="0"/>
        <w:jc w:val="both"/>
        <w:textAlignment w:val="baseline"/>
      </w:pPr>
      <w:r w:rsidRPr="00721159">
        <w:lastRenderedPageBreak/>
        <w:t>50 nauczycieli akademickich posiadających tytuł profesora lub stopień naukowy doktora habilitowanego, w tym co najmniej 3 posiadających tytuł zawodowy lekarza dentysty,</w:t>
      </w:r>
    </w:p>
    <w:p w:rsidR="003644F5" w:rsidRPr="00721159" w:rsidRDefault="003644F5" w:rsidP="003644F5">
      <w:pPr>
        <w:pStyle w:val="Akapitzlist"/>
        <w:numPr>
          <w:ilvl w:val="1"/>
          <w:numId w:val="12"/>
        </w:numPr>
        <w:tabs>
          <w:tab w:val="left" w:pos="1418"/>
        </w:tabs>
        <w:suppressAutoHyphens/>
        <w:autoSpaceDN w:val="0"/>
        <w:spacing w:after="0" w:line="360" w:lineRule="auto"/>
        <w:ind w:left="1418" w:hanging="284"/>
        <w:contextualSpacing w:val="0"/>
        <w:jc w:val="both"/>
        <w:textAlignment w:val="baseline"/>
      </w:pPr>
      <w:r w:rsidRPr="00721159">
        <w:t>8 nauczycieli akademickich posiadających stopień doktora,</w:t>
      </w:r>
    </w:p>
    <w:p w:rsidR="003644F5" w:rsidRPr="00721159" w:rsidRDefault="003644F5" w:rsidP="003644F5">
      <w:pPr>
        <w:pStyle w:val="Akapitzlist"/>
        <w:numPr>
          <w:ilvl w:val="1"/>
          <w:numId w:val="12"/>
        </w:numPr>
        <w:tabs>
          <w:tab w:val="left" w:pos="1418"/>
        </w:tabs>
        <w:suppressAutoHyphens/>
        <w:autoSpaceDN w:val="0"/>
        <w:spacing w:after="0" w:line="360" w:lineRule="auto"/>
        <w:ind w:left="1418" w:hanging="284"/>
        <w:contextualSpacing w:val="0"/>
        <w:jc w:val="both"/>
        <w:textAlignment w:val="baseline"/>
      </w:pPr>
      <w:r w:rsidRPr="00721159">
        <w:t xml:space="preserve"> 2 doktorantów, </w:t>
      </w:r>
    </w:p>
    <w:p w:rsidR="003644F5" w:rsidRPr="00721159" w:rsidRDefault="003644F5" w:rsidP="003644F5">
      <w:pPr>
        <w:spacing w:after="0" w:line="360" w:lineRule="auto"/>
        <w:ind w:left="851"/>
        <w:jc w:val="both"/>
      </w:pPr>
      <w:r w:rsidRPr="00721159">
        <w:t>2) Rada Dyscypliny Nauki Farmaceutyczne, w skład której wchodzi 30 członków, w tym:</w:t>
      </w:r>
    </w:p>
    <w:p w:rsidR="003644F5" w:rsidRPr="00721159" w:rsidRDefault="003644F5" w:rsidP="003644F5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</w:pPr>
      <w:r w:rsidRPr="00721159">
        <w:t>25 nauczycieli akademickich posiadających tytuł profesora lub stopień naukowy doktora habilitowanego,</w:t>
      </w:r>
    </w:p>
    <w:p w:rsidR="003644F5" w:rsidRPr="00721159" w:rsidRDefault="003644F5" w:rsidP="003644F5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</w:pPr>
      <w:r w:rsidRPr="00721159">
        <w:t>4 nauczycieli akademickich posiadających stopień doktora,</w:t>
      </w:r>
    </w:p>
    <w:p w:rsidR="003644F5" w:rsidRPr="00721159" w:rsidRDefault="003644F5" w:rsidP="003644F5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</w:pPr>
      <w:r w:rsidRPr="00721159">
        <w:t>1 doktorant,</w:t>
      </w:r>
    </w:p>
    <w:p w:rsidR="003644F5" w:rsidRPr="00721159" w:rsidRDefault="003644F5" w:rsidP="003644F5">
      <w:pPr>
        <w:spacing w:after="0" w:line="360" w:lineRule="auto"/>
        <w:ind w:left="851"/>
        <w:jc w:val="both"/>
      </w:pPr>
      <w:r w:rsidRPr="00721159">
        <w:t>3) Rada Dyscypliny Nauki o Zdrowiu, w skład której wchodzi 25 członków, w tym:</w:t>
      </w:r>
    </w:p>
    <w:p w:rsidR="003644F5" w:rsidRPr="00721159" w:rsidRDefault="003644F5" w:rsidP="003644F5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</w:pPr>
      <w:r w:rsidRPr="00721159">
        <w:t>20 nauczycieli akademickich posiadających tytuł profesora lub stopień naukowy doktora habilitowanego,</w:t>
      </w:r>
    </w:p>
    <w:p w:rsidR="003644F5" w:rsidRPr="00721159" w:rsidRDefault="003644F5" w:rsidP="003644F5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</w:pPr>
      <w:r w:rsidRPr="00721159">
        <w:t>4 nauczycieli akademickich posiadających stopień doktora,</w:t>
      </w:r>
    </w:p>
    <w:p w:rsidR="003644F5" w:rsidRPr="00721159" w:rsidRDefault="003644F5" w:rsidP="003644F5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</w:pPr>
      <w:r w:rsidRPr="00721159">
        <w:t>1 doktorant,</w:t>
      </w:r>
    </w:p>
    <w:p w:rsidR="003644F5" w:rsidRDefault="003644F5" w:rsidP="003644F5">
      <w:pPr>
        <w:pStyle w:val="Akapitzlist"/>
        <w:spacing w:after="0" w:line="360" w:lineRule="auto"/>
        <w:ind w:left="851" w:hanging="284"/>
        <w:jc w:val="both"/>
      </w:pPr>
      <w:r w:rsidRPr="00721159">
        <w:t xml:space="preserve"> z zastrzeżeniem, że skład rad dyscyplin na daną kadencję może zostać powiększony lub ograniczony zgodnie z § 56 ust. 2 oraz ust. 6.”</w:t>
      </w:r>
      <w:r>
        <w:t>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346C72">
        <w:t xml:space="preserve"> § 56 ust. 2 zdanie drugie wyrazy: „wymagania, o których mowa w ust. 3” zastępuje się wyrazami: „wymagania, o których mowa w ust. 4”</w:t>
      </w:r>
      <w:r>
        <w:t>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346C72">
        <w:t xml:space="preserve"> § 57 ust. 1 pkt 2 otrzymuje następujące brzmienie: </w:t>
      </w:r>
    </w:p>
    <w:p w:rsidR="003644F5" w:rsidRDefault="003644F5" w:rsidP="003644F5">
      <w:pPr>
        <w:spacing w:after="0" w:line="360" w:lineRule="auto"/>
        <w:ind w:left="1134" w:hanging="283"/>
        <w:jc w:val="both"/>
      </w:pPr>
      <w:r w:rsidRPr="00346C72">
        <w:t>„</w:t>
      </w:r>
      <w:r>
        <w:t xml:space="preserve">2) </w:t>
      </w:r>
      <w:r w:rsidRPr="00346C72">
        <w:t>realizacja strategii Uczelni dotyczącej działalności naukowej, ”</w:t>
      </w:r>
      <w:r>
        <w:t>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</w:t>
      </w:r>
      <w:r w:rsidRPr="00346C72">
        <w:t xml:space="preserve"> § 57 ust. 1 uchyla się pkt  7, 8 i 9</w:t>
      </w:r>
      <w:r>
        <w:t>;</w:t>
      </w:r>
    </w:p>
    <w:p w:rsidR="003644F5" w:rsidRPr="00346C72" w:rsidRDefault="003644F5" w:rsidP="003644F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</w:t>
      </w:r>
      <w:r w:rsidRPr="00346C72">
        <w:t xml:space="preserve">o dziale II ORGANY UCZELNI dodaje się DZIAŁ IIB </w:t>
      </w:r>
      <w:r w:rsidRPr="00346C72">
        <w:rPr>
          <w:b/>
        </w:rPr>
        <w:t>RADY WYDZIAŁÓW</w:t>
      </w:r>
      <w:r w:rsidRPr="00346C72">
        <w:t xml:space="preserve"> w brzmieniu:</w:t>
      </w:r>
    </w:p>
    <w:p w:rsidR="003644F5" w:rsidRPr="00346C72" w:rsidRDefault="003644F5" w:rsidP="003644F5">
      <w:pPr>
        <w:spacing w:after="0" w:line="360" w:lineRule="auto"/>
        <w:ind w:left="851" w:hanging="284"/>
        <w:jc w:val="center"/>
      </w:pPr>
      <w:r>
        <w:t>„</w:t>
      </w:r>
      <w:r w:rsidRPr="00346C72">
        <w:t>§ 65</w:t>
      </w:r>
      <w:r w:rsidRPr="00346C72">
        <w:rPr>
          <w:vertAlign w:val="superscript"/>
        </w:rPr>
        <w:t>1</w:t>
      </w:r>
    </w:p>
    <w:p w:rsidR="003644F5" w:rsidRPr="00346C72" w:rsidRDefault="003644F5" w:rsidP="003644F5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</w:pPr>
      <w:r w:rsidRPr="00346C72">
        <w:t>W Uczelni funkcjonują rady wydziałów. Rady wydziałów nie stanowią organów w rozumieniu § 30 statutu.</w:t>
      </w:r>
    </w:p>
    <w:p w:rsidR="003644F5" w:rsidRPr="00346C72" w:rsidRDefault="003644F5" w:rsidP="003644F5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</w:pPr>
      <w:r w:rsidRPr="00346C72">
        <w:t xml:space="preserve">W skład rady wydziału wchodzą kierownicy jednostek organizacyjnych danego wydziału, </w:t>
      </w:r>
      <w:r>
        <w:br/>
      </w:r>
      <w:r w:rsidRPr="00346C72">
        <w:t>o których mowa w § 11 ust. 1 pkt 1 i 1a statutu oraz osoby powołane do pełnienia obowiązków tych kierowników.</w:t>
      </w:r>
    </w:p>
    <w:p w:rsidR="003644F5" w:rsidRPr="00346C72" w:rsidRDefault="003644F5" w:rsidP="003644F5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</w:pPr>
      <w:r w:rsidRPr="00346C72">
        <w:t>Przewodniczącym rady wydziału jest dziekan tego wydziału. W przypadku nieobecności dziekana obradom rady wydziału przewodniczy prodziekan wskazany przez dziekana.</w:t>
      </w:r>
    </w:p>
    <w:p w:rsidR="003644F5" w:rsidRPr="00346C72" w:rsidRDefault="003644F5" w:rsidP="003644F5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</w:pPr>
      <w:r w:rsidRPr="00346C72">
        <w:t>Posiedzenia rad wydziałów odbywają się co najmniej raz na kwartał.</w:t>
      </w:r>
    </w:p>
    <w:p w:rsidR="003644F5" w:rsidRPr="00346C72" w:rsidRDefault="003644F5" w:rsidP="003644F5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</w:pPr>
      <w:r w:rsidRPr="00346C72">
        <w:t>Obsługę administracyjną rad wydziałów zapewniają dziekanaty.</w:t>
      </w:r>
    </w:p>
    <w:p w:rsidR="003644F5" w:rsidRPr="00346C72" w:rsidRDefault="003644F5" w:rsidP="003644F5">
      <w:pPr>
        <w:spacing w:after="0" w:line="360" w:lineRule="auto"/>
        <w:ind w:left="851" w:hanging="284"/>
        <w:jc w:val="center"/>
      </w:pPr>
      <w:r w:rsidRPr="00346C72">
        <w:t>§ 65</w:t>
      </w:r>
      <w:r w:rsidRPr="00346C72">
        <w:rPr>
          <w:vertAlign w:val="superscript"/>
        </w:rPr>
        <w:t>2</w:t>
      </w:r>
    </w:p>
    <w:p w:rsidR="003644F5" w:rsidRPr="00346C72" w:rsidRDefault="003644F5" w:rsidP="003644F5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</w:pPr>
      <w:r w:rsidRPr="00346C72">
        <w:lastRenderedPageBreak/>
        <w:t xml:space="preserve">Do zadań rad wydziałów należy wyrażanie opinii w sprawach przedłożonych przez rektora, dziekana lub prorektora. </w:t>
      </w:r>
    </w:p>
    <w:p w:rsidR="003644F5" w:rsidRPr="00346C72" w:rsidRDefault="003644F5" w:rsidP="003644F5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</w:pPr>
      <w:r w:rsidRPr="00346C72">
        <w:t>Stałym punktem porządku obrad rad wydziałów są sprawy zgłoszone przez prorektora ds. nauki dotyczące działalności naukowej w jednostkach wydziałowych.</w:t>
      </w:r>
    </w:p>
    <w:p w:rsidR="003644F5" w:rsidRPr="00346C72" w:rsidRDefault="003644F5" w:rsidP="003644F5">
      <w:pPr>
        <w:spacing w:after="0" w:line="360" w:lineRule="auto"/>
        <w:ind w:left="851" w:hanging="284"/>
        <w:jc w:val="center"/>
      </w:pPr>
      <w:r w:rsidRPr="00346C72">
        <w:t>§ 65</w:t>
      </w:r>
      <w:r w:rsidRPr="00346C72">
        <w:rPr>
          <w:vertAlign w:val="superscript"/>
        </w:rPr>
        <w:t>3</w:t>
      </w:r>
    </w:p>
    <w:p w:rsidR="003644F5" w:rsidRPr="00346C72" w:rsidRDefault="003644F5" w:rsidP="003644F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</w:pPr>
      <w:r w:rsidRPr="00346C72">
        <w:t>Uchwały rady wydziału są podejmowane przy zachowaniu następujących zasad:</w:t>
      </w:r>
    </w:p>
    <w:p w:rsidR="003644F5" w:rsidRPr="00346C72" w:rsidRDefault="003644F5" w:rsidP="003644F5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</w:pPr>
      <w:r w:rsidRPr="00346C72">
        <w:t>uchwały podejmowane są na posiedzeniach, bezwzględną większością głosów osób obecnych,</w:t>
      </w:r>
    </w:p>
    <w:p w:rsidR="003644F5" w:rsidRPr="00346C72" w:rsidRDefault="003644F5" w:rsidP="003644F5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</w:pPr>
      <w:r w:rsidRPr="00346C72">
        <w:t>uchwały podejmowane są w głosowaniu jawnym przez podniesienie ręki lub przy wykorzystaniu urządzenia do liczenia głosów, a w sprawach personalnych (z wyłączeniem wyboru członków komisji skrutacyjnych) przez użycie kart do głosowania albo przy wykorzystaniu urządzenia do liczenia głosów z zachowaniem tajności głosowania,</w:t>
      </w:r>
    </w:p>
    <w:p w:rsidR="003644F5" w:rsidRPr="00346C72" w:rsidRDefault="003644F5" w:rsidP="003644F5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</w:pPr>
      <w:r w:rsidRPr="00346C72">
        <w:t>rozpatrywanie spraw, w tym również personalnych, wymaga umieszczenia ich w programie posiedzenia rady wydziału najpóźniej w dniu rozpatrywania,</w:t>
      </w:r>
    </w:p>
    <w:p w:rsidR="003644F5" w:rsidRPr="00346C72" w:rsidRDefault="003644F5" w:rsidP="003644F5">
      <w:pPr>
        <w:pStyle w:val="Akapitzlist"/>
        <w:numPr>
          <w:ilvl w:val="1"/>
          <w:numId w:val="4"/>
        </w:numPr>
        <w:spacing w:after="0" w:line="360" w:lineRule="auto"/>
        <w:ind w:left="851" w:hanging="284"/>
        <w:jc w:val="both"/>
      </w:pPr>
      <w:r w:rsidRPr="00346C72">
        <w:t>w sprawach o wydanie opinii wynik głosowania stanowi wyrażenie stanowiska w sprawie w taki sposób, że głosy oddane przeciwko projektowi uchwały o wyrażeniu pozytywnej opinii liczone są jako głosy za przyjęciem uchwały o wyrażeniu negatywnej opinii.</w:t>
      </w:r>
    </w:p>
    <w:p w:rsidR="003644F5" w:rsidRPr="00346C72" w:rsidRDefault="003644F5" w:rsidP="003644F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</w:pPr>
      <w:r w:rsidRPr="00346C72">
        <w:t xml:space="preserve">Udział członków rad wydziału w posiedzeniach tych rad jest obowiązkowy. </w:t>
      </w:r>
    </w:p>
    <w:p w:rsidR="003644F5" w:rsidRPr="00346C72" w:rsidRDefault="003644F5" w:rsidP="003644F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</w:pPr>
      <w:r w:rsidRPr="00346C72">
        <w:t>Do podejmowania uchwał przez rady wydziałów nie stosuje się przepisów § 34 Statutu.</w:t>
      </w:r>
    </w:p>
    <w:p w:rsidR="003644F5" w:rsidRPr="00346C72" w:rsidRDefault="003644F5" w:rsidP="003644F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</w:pPr>
      <w:r w:rsidRPr="00346C72">
        <w:t>Zasady zwoływania posiedzeń i pracy rad wydziałów określa regulamin nadany przez rektora.</w:t>
      </w:r>
    </w:p>
    <w:p w:rsidR="003644F5" w:rsidRPr="00346C72" w:rsidRDefault="003644F5" w:rsidP="003644F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</w:pPr>
      <w:r w:rsidRPr="00346C72">
        <w:t>Wzory kart do głosowania na radach wydziałów stanowią załączniki do regulaminu zasad zwoływania posiedzeń i pracy rad wydziałów, o którym mowa w ust. 4.</w:t>
      </w:r>
    </w:p>
    <w:p w:rsidR="003644F5" w:rsidRPr="00346C72" w:rsidRDefault="003644F5" w:rsidP="003644F5">
      <w:pPr>
        <w:spacing w:after="0" w:line="360" w:lineRule="auto"/>
        <w:ind w:left="851" w:hanging="284"/>
        <w:jc w:val="center"/>
      </w:pPr>
      <w:r w:rsidRPr="00346C72">
        <w:t>§ 65</w:t>
      </w:r>
      <w:r w:rsidRPr="00346C72">
        <w:rPr>
          <w:vertAlign w:val="superscript"/>
        </w:rPr>
        <w:t>4</w:t>
      </w:r>
    </w:p>
    <w:p w:rsidR="003644F5" w:rsidRPr="00346C72" w:rsidRDefault="003644F5" w:rsidP="003644F5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</w:pPr>
      <w:r w:rsidRPr="00346C72">
        <w:t>Członkostwo w radzie wydziału wygasa w razie:</w:t>
      </w:r>
    </w:p>
    <w:p w:rsidR="003644F5" w:rsidRPr="00346C72" w:rsidRDefault="003644F5" w:rsidP="003644F5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</w:pPr>
      <w:r w:rsidRPr="00346C72">
        <w:t>zaprzestania spełnienia wymagań, o których mowa w § 65</w:t>
      </w:r>
      <w:r w:rsidRPr="00346C72">
        <w:rPr>
          <w:vertAlign w:val="superscript"/>
        </w:rPr>
        <w:t>1</w:t>
      </w:r>
      <w:r w:rsidRPr="00346C72">
        <w:t xml:space="preserve"> ust. 2,</w:t>
      </w:r>
    </w:p>
    <w:p w:rsidR="003644F5" w:rsidRPr="00346C72" w:rsidRDefault="003644F5" w:rsidP="003644F5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</w:pPr>
      <w:r w:rsidRPr="00346C72">
        <w:t>rezygnacji lub śmierci,</w:t>
      </w:r>
    </w:p>
    <w:p w:rsidR="003644F5" w:rsidRPr="00346C72" w:rsidRDefault="003644F5" w:rsidP="003644F5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</w:pPr>
      <w:r w:rsidRPr="00346C72">
        <w:t>trzykrotnej nieusprawiedliwionej nieobecności na posiedzeniu rady wydziału w danym roku kalendarzowym.</w:t>
      </w:r>
    </w:p>
    <w:p w:rsidR="003644F5" w:rsidRPr="00346C72" w:rsidRDefault="003644F5" w:rsidP="003644F5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</w:pPr>
      <w:r w:rsidRPr="00346C72">
        <w:t>Pisemne usprawiedliwienie nieobecności na posiedzeniu rady wydziału</w:t>
      </w:r>
      <w:r>
        <w:t>, z podaniem przyczyny i okresu nieobecności,</w:t>
      </w:r>
      <w:r w:rsidRPr="00346C72">
        <w:t xml:space="preserve"> należy przedłożyć dziekanowi</w:t>
      </w:r>
      <w:r>
        <w:t xml:space="preserve"> do jego decyzji</w:t>
      </w:r>
      <w:r w:rsidRPr="00346C72">
        <w:t xml:space="preserve"> </w:t>
      </w:r>
      <w:r>
        <w:t>nie później niż w terminie 3 dni od dnia ustania przyczyny nieobecności</w:t>
      </w:r>
      <w:r w:rsidRPr="00346C72">
        <w:t xml:space="preserve">. </w:t>
      </w:r>
    </w:p>
    <w:p w:rsidR="003644F5" w:rsidRPr="00346C72" w:rsidRDefault="003644F5" w:rsidP="003644F5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</w:pPr>
      <w:r w:rsidRPr="00346C72">
        <w:t xml:space="preserve">Wygaśnięcie członkostwa w radzie wydziału stwierdza dziekan. </w:t>
      </w:r>
    </w:p>
    <w:p w:rsidR="003644F5" w:rsidRPr="00346C72" w:rsidRDefault="003644F5" w:rsidP="003644F5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</w:pPr>
      <w:r w:rsidRPr="00346C72">
        <w:t xml:space="preserve">Jeśli stwierdzenie wygaśnięcia mandatu danej osoby w radzie wydziału nastąpiło z przyczyny, o której mowa w ust. 1 pkt 3, osoba ta wchodzi w skład rady wydziału w przypadku powołania jej na kierownika lub osobę pełniącą funkcję kierownika </w:t>
      </w:r>
      <w:r>
        <w:t>innej jednostki organizacyjnej.”.</w:t>
      </w:r>
    </w:p>
    <w:p w:rsidR="003644F5" w:rsidRDefault="003644F5" w:rsidP="003644F5">
      <w:pPr>
        <w:pStyle w:val="Akapitzlist"/>
        <w:numPr>
          <w:ilvl w:val="0"/>
          <w:numId w:val="2"/>
        </w:numPr>
        <w:spacing w:after="480" w:line="360" w:lineRule="auto"/>
        <w:ind w:left="284" w:firstLine="0"/>
        <w:contextualSpacing w:val="0"/>
        <w:jc w:val="both"/>
      </w:pPr>
      <w:r>
        <w:lastRenderedPageBreak/>
        <w:t xml:space="preserve"> </w:t>
      </w:r>
      <w:r w:rsidRPr="00346C72">
        <w:t>W § 139 skreśla się słowa: „kontroli wewnętrznej,”</w:t>
      </w:r>
      <w:r>
        <w:t>.</w:t>
      </w:r>
      <w:bookmarkStart w:id="0" w:name="_GoBack"/>
      <w:bookmarkEnd w:id="0"/>
    </w:p>
    <w:p w:rsidR="003644F5" w:rsidRPr="008A580E" w:rsidRDefault="003644F5" w:rsidP="003644F5">
      <w:pPr>
        <w:pStyle w:val="Akapitzlist"/>
        <w:spacing w:after="0" w:line="360" w:lineRule="auto"/>
        <w:ind w:left="284"/>
        <w:jc w:val="center"/>
        <w:rPr>
          <w:b/>
          <w:bCs/>
        </w:rPr>
      </w:pPr>
      <w:r w:rsidRPr="008A580E">
        <w:rPr>
          <w:b/>
          <w:bCs/>
        </w:rPr>
        <w:t>§ 2.</w:t>
      </w:r>
    </w:p>
    <w:p w:rsidR="003644F5" w:rsidRPr="008A580E" w:rsidRDefault="003644F5" w:rsidP="003644F5">
      <w:pPr>
        <w:spacing w:after="0" w:line="360" w:lineRule="auto"/>
        <w:jc w:val="both"/>
        <w:rPr>
          <w:b/>
        </w:rPr>
      </w:pPr>
      <w:r w:rsidRPr="008A580E">
        <w:rPr>
          <w:b/>
        </w:rPr>
        <w:t>PRZEPISY PRZEJŚCIOWE:</w:t>
      </w:r>
    </w:p>
    <w:p w:rsidR="003644F5" w:rsidRPr="008A580E" w:rsidRDefault="003644F5" w:rsidP="003644F5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A580E">
        <w:t>Uchwała Senatu wchodzi w życie z dniem podjęcia, z zastrzeżeniem ust. 2 i 3 poniżej.</w:t>
      </w:r>
    </w:p>
    <w:p w:rsidR="003644F5" w:rsidRPr="008A580E" w:rsidRDefault="003644F5" w:rsidP="003644F5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A580E">
        <w:t>Przepisy §1 pkt 10 wchodzą w życie w dniu 1 stycznia 2025 roku, przy czym ustalenie składów rad dyscyplin na kadencję 2025-2028  nastąpi z uwzględnieniem przepisów §1 pkt 10-11 niniejszej uchwały.</w:t>
      </w:r>
    </w:p>
    <w:p w:rsidR="003644F5" w:rsidRPr="008A580E" w:rsidRDefault="003644F5" w:rsidP="003644F5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8A580E">
        <w:t>Przepisy § 1 pkt 3-5 oraz §1 pkt 7-8 wchodzą w życie z dniem 1 stycznia 2025 r. przy czym wybory do rady uczelni na kadencję 2025-2028  przeprowadza się z uwzględnieniem tych przepisów.</w:t>
      </w:r>
    </w:p>
    <w:p w:rsidR="00F46E1E" w:rsidRDefault="003644F5" w:rsidP="003644F5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46C72">
        <w:t xml:space="preserve">Dziekan zwołuje pierwsze posiedzenie rady wydziału w czwartym kwartale roku 2024 </w:t>
      </w:r>
      <w:r>
        <w:br/>
      </w:r>
      <w:r w:rsidRPr="00346C72">
        <w:t xml:space="preserve">z terminem posiedzenia przypadającym nie później niż w dniu 15 listopada 2024 r. </w:t>
      </w:r>
    </w:p>
    <w:sectPr w:rsidR="00F46E1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4B" w:rsidRDefault="003644F5">
    <w:pPr>
      <w:pStyle w:val="Stopka"/>
      <w:jc w:val="center"/>
    </w:pPr>
  </w:p>
  <w:p w:rsidR="00F2744B" w:rsidRDefault="003644F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5F6"/>
    <w:multiLevelType w:val="hybridMultilevel"/>
    <w:tmpl w:val="A84A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DAE"/>
    <w:multiLevelType w:val="hybridMultilevel"/>
    <w:tmpl w:val="C8BC6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5F13"/>
    <w:multiLevelType w:val="multilevel"/>
    <w:tmpl w:val="5B0690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A21"/>
    <w:multiLevelType w:val="hybridMultilevel"/>
    <w:tmpl w:val="976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48B5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7958"/>
    <w:multiLevelType w:val="hybridMultilevel"/>
    <w:tmpl w:val="CE9816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45364"/>
    <w:multiLevelType w:val="hybridMultilevel"/>
    <w:tmpl w:val="976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48B5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B4AFD"/>
    <w:multiLevelType w:val="multilevel"/>
    <w:tmpl w:val="11589B8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0767869"/>
    <w:multiLevelType w:val="hybridMultilevel"/>
    <w:tmpl w:val="DB061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5AD8"/>
    <w:multiLevelType w:val="hybridMultilevel"/>
    <w:tmpl w:val="E5545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00608"/>
    <w:multiLevelType w:val="hybridMultilevel"/>
    <w:tmpl w:val="7B42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632BE"/>
    <w:multiLevelType w:val="hybridMultilevel"/>
    <w:tmpl w:val="BA641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61F"/>
    <w:multiLevelType w:val="hybridMultilevel"/>
    <w:tmpl w:val="7B42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5"/>
    <w:rsid w:val="003644F5"/>
    <w:rsid w:val="00A051D5"/>
    <w:rsid w:val="00F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7B3A"/>
  <w15:chartTrackingRefBased/>
  <w15:docId w15:val="{904FDE48-AAA1-495F-AA93-81F054B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F5"/>
  </w:style>
  <w:style w:type="paragraph" w:customStyle="1" w:styleId="Default">
    <w:name w:val="Default"/>
    <w:rsid w:val="00364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MKapera</dc:creator>
  <cp:keywords/>
  <dc:description/>
  <cp:lastModifiedBy>MKapera</cp:lastModifiedBy>
  <cp:revision>2</cp:revision>
  <dcterms:created xsi:type="dcterms:W3CDTF">2024-09-06T11:42:00Z</dcterms:created>
  <dcterms:modified xsi:type="dcterms:W3CDTF">2024-09-06T11:44:00Z</dcterms:modified>
</cp:coreProperties>
</file>