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C158" w14:textId="34113C53" w:rsidR="00E3461C" w:rsidRPr="00EB688D" w:rsidRDefault="00E3461C" w:rsidP="00EB688D">
      <w:pPr>
        <w:spacing w:after="0" w:line="288" w:lineRule="auto"/>
        <w:ind w:firstLine="4678"/>
        <w:rPr>
          <w:rFonts w:ascii="Calibri" w:hAnsi="Calibri" w:cs="Calibri"/>
          <w:sz w:val="20"/>
          <w:szCs w:val="20"/>
        </w:rPr>
      </w:pPr>
      <w:r w:rsidRPr="00EB688D">
        <w:rPr>
          <w:rFonts w:ascii="Calibri" w:hAnsi="Calibri" w:cs="Calibri"/>
          <w:sz w:val="20"/>
          <w:szCs w:val="20"/>
        </w:rPr>
        <w:t xml:space="preserve">Załącznik do uchwały nr </w:t>
      </w:r>
      <w:r w:rsidR="00821E54" w:rsidRPr="00EB688D">
        <w:rPr>
          <w:rFonts w:ascii="Calibri" w:hAnsi="Calibri" w:cs="Calibri"/>
          <w:sz w:val="20"/>
          <w:szCs w:val="20"/>
        </w:rPr>
        <w:t>2663</w:t>
      </w:r>
    </w:p>
    <w:p w14:paraId="7C5E2A1A" w14:textId="77777777" w:rsidR="00E3461C" w:rsidRPr="00EB688D" w:rsidRDefault="00E3461C" w:rsidP="00EB688D">
      <w:pPr>
        <w:spacing w:after="0" w:line="288" w:lineRule="auto"/>
        <w:ind w:firstLine="4678"/>
        <w:rPr>
          <w:rFonts w:ascii="Calibri" w:hAnsi="Calibri" w:cs="Calibri"/>
          <w:sz w:val="20"/>
          <w:szCs w:val="20"/>
        </w:rPr>
      </w:pPr>
      <w:r w:rsidRPr="00EB688D">
        <w:rPr>
          <w:rFonts w:ascii="Calibri" w:hAnsi="Calibri" w:cs="Calibri"/>
          <w:sz w:val="20"/>
          <w:szCs w:val="20"/>
        </w:rPr>
        <w:t>Senatu Uniwersytetu Medycznego we Wrocławiu</w:t>
      </w:r>
    </w:p>
    <w:p w14:paraId="43821F2E" w14:textId="3C5573D3" w:rsidR="00E3461C" w:rsidRPr="00EB688D" w:rsidRDefault="006F22E9" w:rsidP="00EB688D">
      <w:pPr>
        <w:tabs>
          <w:tab w:val="left" w:pos="6096"/>
        </w:tabs>
        <w:spacing w:after="0" w:line="288" w:lineRule="auto"/>
        <w:ind w:firstLine="4678"/>
        <w:rPr>
          <w:rFonts w:ascii="Calibri" w:hAnsi="Calibri" w:cs="Calibri"/>
          <w:sz w:val="20"/>
          <w:szCs w:val="20"/>
        </w:rPr>
      </w:pPr>
      <w:r w:rsidRPr="00EB688D">
        <w:rPr>
          <w:rFonts w:ascii="Calibri" w:hAnsi="Calibri" w:cs="Calibri"/>
          <w:sz w:val="20"/>
          <w:szCs w:val="20"/>
        </w:rPr>
        <w:t>z dnia</w:t>
      </w:r>
      <w:r w:rsidR="00821E54" w:rsidRPr="00EB688D">
        <w:rPr>
          <w:rFonts w:ascii="Calibri" w:hAnsi="Calibri" w:cs="Calibri"/>
          <w:sz w:val="20"/>
          <w:szCs w:val="20"/>
        </w:rPr>
        <w:t xml:space="preserve"> 27 listopada </w:t>
      </w:r>
      <w:r w:rsidR="001F464D" w:rsidRPr="00EB688D">
        <w:rPr>
          <w:rFonts w:ascii="Calibri" w:hAnsi="Calibri" w:cs="Calibri"/>
          <w:sz w:val="20"/>
          <w:szCs w:val="20"/>
        </w:rPr>
        <w:t xml:space="preserve">2024 </w:t>
      </w:r>
      <w:r w:rsidR="00E3461C" w:rsidRPr="00EB688D">
        <w:rPr>
          <w:rFonts w:ascii="Calibri" w:hAnsi="Calibri" w:cs="Calibri"/>
          <w:sz w:val="20"/>
          <w:szCs w:val="20"/>
        </w:rPr>
        <w:t>r.</w:t>
      </w:r>
    </w:p>
    <w:p w14:paraId="14163E4F" w14:textId="77777777" w:rsidR="00E3461C" w:rsidRPr="00EB688D" w:rsidRDefault="00E3461C" w:rsidP="00CB1062">
      <w:pPr>
        <w:spacing w:before="360" w:after="0" w:line="28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688D">
        <w:rPr>
          <w:rFonts w:ascii="Calibri" w:hAnsi="Calibri" w:cs="Calibri"/>
          <w:b/>
          <w:bCs/>
          <w:sz w:val="24"/>
          <w:szCs w:val="24"/>
        </w:rPr>
        <w:t xml:space="preserve">Regulamin pracy </w:t>
      </w:r>
    </w:p>
    <w:p w14:paraId="34611EDD" w14:textId="77777777" w:rsidR="00E3461C" w:rsidRPr="00EB688D" w:rsidRDefault="00E3461C" w:rsidP="00EB688D">
      <w:pPr>
        <w:spacing w:after="0" w:line="28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688D">
        <w:rPr>
          <w:rFonts w:ascii="Calibri" w:hAnsi="Calibri" w:cs="Calibri"/>
          <w:b/>
          <w:bCs/>
          <w:sz w:val="24"/>
          <w:szCs w:val="24"/>
        </w:rPr>
        <w:t xml:space="preserve">Senackiej Komisji Arbitrażowej </w:t>
      </w:r>
      <w:r w:rsidRPr="00EB688D">
        <w:rPr>
          <w:rFonts w:ascii="Calibri" w:hAnsi="Calibri" w:cs="Calibri"/>
          <w:b/>
          <w:bCs/>
          <w:sz w:val="24"/>
          <w:szCs w:val="24"/>
        </w:rPr>
        <w:br/>
        <w:t>Uniwersytetu Medycznego im. Piastów Śląskich we Wrocławiu</w:t>
      </w:r>
    </w:p>
    <w:p w14:paraId="0CE9C6AD" w14:textId="3E9B52BE" w:rsidR="00E3461C" w:rsidRPr="00EB688D" w:rsidRDefault="00E3461C" w:rsidP="00EB688D">
      <w:pPr>
        <w:spacing w:after="0" w:line="288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688D">
        <w:rPr>
          <w:rFonts w:ascii="Calibri" w:hAnsi="Calibri" w:cs="Calibri"/>
          <w:b/>
          <w:bCs/>
          <w:sz w:val="24"/>
          <w:szCs w:val="24"/>
        </w:rPr>
        <w:t>na kadencję 202</w:t>
      </w:r>
      <w:r w:rsidR="00FD067C" w:rsidRPr="00EB688D">
        <w:rPr>
          <w:rFonts w:ascii="Calibri" w:hAnsi="Calibri" w:cs="Calibri"/>
          <w:b/>
          <w:bCs/>
          <w:sz w:val="24"/>
          <w:szCs w:val="24"/>
        </w:rPr>
        <w:t>4</w:t>
      </w:r>
      <w:r w:rsidR="00EB688D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EB688D">
        <w:rPr>
          <w:rFonts w:ascii="Calibri" w:hAnsi="Calibri" w:cs="Calibri"/>
          <w:b/>
          <w:bCs/>
          <w:sz w:val="24"/>
          <w:szCs w:val="24"/>
        </w:rPr>
        <w:t>202</w:t>
      </w:r>
      <w:r w:rsidR="00FD067C" w:rsidRPr="00EB688D">
        <w:rPr>
          <w:rFonts w:ascii="Calibri" w:hAnsi="Calibri" w:cs="Calibri"/>
          <w:b/>
          <w:bCs/>
          <w:sz w:val="24"/>
          <w:szCs w:val="24"/>
        </w:rPr>
        <w:t>8</w:t>
      </w:r>
    </w:p>
    <w:p w14:paraId="283A1C39" w14:textId="05334172" w:rsidR="00E3461C" w:rsidRPr="00EB688D" w:rsidRDefault="00E3461C" w:rsidP="00EB688D">
      <w:pPr>
        <w:spacing w:before="240"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Podstawa prawna:</w:t>
      </w:r>
      <w:r w:rsidR="0058658E" w:rsidRPr="00EB688D" w:rsidDel="0058658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688D">
        <w:rPr>
          <w:rFonts w:ascii="Calibri" w:hAnsi="Calibri" w:cs="Calibri"/>
          <w:spacing w:val="-4"/>
          <w:sz w:val="24"/>
          <w:szCs w:val="24"/>
        </w:rPr>
        <w:t>§ 52 ust. 6 statutu Uniwersytetu Medycznego</w:t>
      </w:r>
      <w:r w:rsidR="00D22664" w:rsidRPr="00EB688D">
        <w:rPr>
          <w:rFonts w:ascii="Calibri" w:hAnsi="Calibri" w:cs="Calibri"/>
          <w:spacing w:val="-4"/>
          <w:sz w:val="24"/>
          <w:szCs w:val="24"/>
        </w:rPr>
        <w:t xml:space="preserve"> im. Piastów Śląskich</w:t>
      </w:r>
      <w:r w:rsidRPr="00EB688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EB688D">
        <w:rPr>
          <w:rFonts w:ascii="Calibri" w:hAnsi="Calibri" w:cs="Calibri"/>
          <w:spacing w:val="-4"/>
          <w:sz w:val="24"/>
          <w:szCs w:val="24"/>
        </w:rPr>
        <w:br/>
      </w:r>
      <w:r w:rsidRPr="00EB688D">
        <w:rPr>
          <w:rFonts w:ascii="Calibri" w:hAnsi="Calibri" w:cs="Calibri"/>
          <w:spacing w:val="-4"/>
          <w:sz w:val="24"/>
          <w:szCs w:val="24"/>
        </w:rPr>
        <w:t xml:space="preserve">we Wrocławiu </w:t>
      </w:r>
      <w:r w:rsidR="00D22664" w:rsidRPr="00EB688D">
        <w:rPr>
          <w:rFonts w:ascii="Calibri" w:hAnsi="Calibri" w:cs="Calibri"/>
          <w:spacing w:val="-4"/>
          <w:sz w:val="24"/>
          <w:szCs w:val="24"/>
        </w:rPr>
        <w:t xml:space="preserve">(załącznik do uchwały nr 2349 Senatu Uniwersytetu Medycznego we Wrocławiu </w:t>
      </w:r>
      <w:r w:rsidR="00EB688D">
        <w:rPr>
          <w:rFonts w:ascii="Calibri" w:hAnsi="Calibri" w:cs="Calibri"/>
          <w:spacing w:val="-4"/>
          <w:sz w:val="24"/>
          <w:szCs w:val="24"/>
        </w:rPr>
        <w:br/>
      </w:r>
      <w:r w:rsidR="00D22664" w:rsidRPr="00EB688D">
        <w:rPr>
          <w:rFonts w:ascii="Calibri" w:hAnsi="Calibri" w:cs="Calibri"/>
          <w:spacing w:val="-4"/>
          <w:sz w:val="24"/>
          <w:szCs w:val="24"/>
        </w:rPr>
        <w:t>z dnia 27 października 2021 roku ze zm.)</w:t>
      </w:r>
    </w:p>
    <w:p w14:paraId="7CFA3453" w14:textId="77777777" w:rsidR="00E3461C" w:rsidRPr="00EB688D" w:rsidRDefault="00E3461C" w:rsidP="00EB688D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1</w:t>
      </w:r>
    </w:p>
    <w:p w14:paraId="25B64AEA" w14:textId="77777777" w:rsidR="00E3461C" w:rsidRPr="00EB688D" w:rsidRDefault="00E3461C" w:rsidP="00EB688D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Zadaniami Senackiej Komisji Arbitrażowej, zwanej dalej „Komisją”, są próby polubownego rozwiązywania konfliktów powstałych między członkami społeczności akademickiej.</w:t>
      </w:r>
    </w:p>
    <w:p w14:paraId="5D64C919" w14:textId="77777777" w:rsidR="00E3461C" w:rsidRPr="00EB688D" w:rsidRDefault="00E3461C" w:rsidP="00EB688D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 posiedzeniach Komisji mogą uczestniczyć, z głosem doradczym, po jednym przedstawicielu związków zawodowych działających w Uczelni.</w:t>
      </w:r>
    </w:p>
    <w:p w14:paraId="7E83B8F7" w14:textId="77777777" w:rsidR="00E3461C" w:rsidRPr="00EB688D" w:rsidRDefault="00E3461C" w:rsidP="00EB688D">
      <w:pPr>
        <w:spacing w:before="240" w:after="0" w:line="288" w:lineRule="auto"/>
        <w:jc w:val="center"/>
        <w:rPr>
          <w:rFonts w:ascii="Calibri" w:hAnsi="Calibri" w:cs="Calibri"/>
          <w:bCs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2</w:t>
      </w:r>
    </w:p>
    <w:p w14:paraId="1E5BE9B9" w14:textId="77777777" w:rsidR="00E3461C" w:rsidRPr="00EB688D" w:rsidRDefault="00E3461C" w:rsidP="00EB688D">
      <w:pPr>
        <w:pStyle w:val="Akapitzlist"/>
        <w:numPr>
          <w:ilvl w:val="0"/>
          <w:numId w:val="8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 xml:space="preserve">Komisja podejmuje decyzje </w:t>
      </w:r>
      <w:r w:rsidRPr="00EB688D">
        <w:rPr>
          <w:rFonts w:ascii="Calibri" w:hAnsi="Calibri" w:cs="Calibri"/>
          <w:sz w:val="24"/>
          <w:szCs w:val="24"/>
        </w:rPr>
        <w:t>w głosowaniu jawnym,</w:t>
      </w:r>
      <w:r w:rsidRPr="00EB688D">
        <w:rPr>
          <w:rFonts w:ascii="Calibri" w:hAnsi="Calibri" w:cs="Calibri"/>
          <w:spacing w:val="-4"/>
          <w:sz w:val="24"/>
          <w:szCs w:val="24"/>
        </w:rPr>
        <w:t xml:space="preserve"> bezwzględną większością głosów. Wniosek jest przyjęty, gdy uzyska więcej niż połowę ważnie oddanych głosów, przy obecności co najmniej połowy składu Komisji</w:t>
      </w:r>
      <w:r w:rsidRPr="00EB688D">
        <w:rPr>
          <w:rFonts w:ascii="Calibri" w:hAnsi="Calibri" w:cs="Calibri"/>
          <w:sz w:val="24"/>
          <w:szCs w:val="24"/>
        </w:rPr>
        <w:t>.</w:t>
      </w:r>
    </w:p>
    <w:p w14:paraId="472219C6" w14:textId="77777777" w:rsidR="00E3461C" w:rsidRPr="00EB688D" w:rsidRDefault="00E3461C" w:rsidP="00EB688D">
      <w:pPr>
        <w:pStyle w:val="Akapitzlist"/>
        <w:numPr>
          <w:ilvl w:val="0"/>
          <w:numId w:val="8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Komisja podejmuje decyzje</w:t>
      </w:r>
      <w:r w:rsidRPr="00EB688D">
        <w:rPr>
          <w:rFonts w:ascii="Calibri" w:hAnsi="Calibri" w:cs="Calibri"/>
          <w:sz w:val="24"/>
          <w:szCs w:val="24"/>
        </w:rPr>
        <w:t xml:space="preserve"> w głosowaniu tajnym w sprawach personalnych oraz w innych sprawach na wniosek członka Komisji, poparty przez członków w liczbie 1/3 składu Komisji.</w:t>
      </w:r>
    </w:p>
    <w:p w14:paraId="0243AA48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bCs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3</w:t>
      </w:r>
    </w:p>
    <w:p w14:paraId="78E84E77" w14:textId="77777777" w:rsidR="00E3461C" w:rsidRPr="00EB688D" w:rsidRDefault="00E3461C" w:rsidP="00EB688D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Członkowie społeczności akademickiej składają pisemny wniosek o mediację za pośrednictwem Rektora, a w przypadku, gdy stroną konfliktu jest Rektor, za pośrednictwem Prorektora ds. Nauki, którzy odpowiednio niezwłocznie kierują wniosek do przewodniczącego Komisji.</w:t>
      </w:r>
    </w:p>
    <w:p w14:paraId="031721EC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4</w:t>
      </w:r>
    </w:p>
    <w:p w14:paraId="297D1A80" w14:textId="02660A94" w:rsidR="00E3461C" w:rsidRPr="00EB688D" w:rsidRDefault="00E3461C" w:rsidP="00EB688D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Przewodniczący Komisji wyznacza spośród członków Komisji trzyosobowy Zespół Arbitrażowy, zwany dalej „Zespołem”, dla zbadania danej sprawy oraz wskazuje osobę przewodniczącego Zespołu, którym powinien być nauczyciel akademicki zatrudniony na</w:t>
      </w:r>
      <w:r w:rsidR="006C1941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>stanowisku nie niższym niż osoby, będące stronami konfliktu.</w:t>
      </w:r>
    </w:p>
    <w:p w14:paraId="3F6E6A15" w14:textId="77777777" w:rsidR="00E3461C" w:rsidRPr="00EB688D" w:rsidRDefault="00E3461C" w:rsidP="00EB688D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Terminy posiedzenia Komisji lub Zespołu wyznaczają ich przewodniczący.</w:t>
      </w:r>
    </w:p>
    <w:p w14:paraId="09E88059" w14:textId="1FB0778E" w:rsidR="00E3461C" w:rsidRPr="00EB688D" w:rsidRDefault="00E3461C" w:rsidP="00EB688D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 xml:space="preserve">W celu realizacji przedmiotu działalności, o którym mowa w § 1 </w:t>
      </w:r>
      <w:r w:rsidR="00487CFA" w:rsidRPr="00EB688D">
        <w:rPr>
          <w:rFonts w:ascii="Calibri" w:hAnsi="Calibri" w:cs="Calibri"/>
          <w:sz w:val="24"/>
          <w:szCs w:val="24"/>
        </w:rPr>
        <w:t xml:space="preserve">ust. </w:t>
      </w:r>
      <w:r w:rsidRPr="00EB688D">
        <w:rPr>
          <w:rFonts w:ascii="Calibri" w:hAnsi="Calibri" w:cs="Calibri"/>
          <w:sz w:val="24"/>
          <w:szCs w:val="24"/>
        </w:rPr>
        <w:t>1 Zespół:</w:t>
      </w:r>
    </w:p>
    <w:p w14:paraId="37908C35" w14:textId="77777777" w:rsidR="00E3461C" w:rsidRPr="00EB688D" w:rsidRDefault="00E3461C" w:rsidP="00EB688D">
      <w:pPr>
        <w:pStyle w:val="Akapitzlist"/>
        <w:numPr>
          <w:ilvl w:val="0"/>
          <w:numId w:val="2"/>
        </w:numPr>
        <w:spacing w:after="0" w:line="288" w:lineRule="auto"/>
        <w:ind w:left="397" w:firstLine="29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wysłuchuje opinii wszystkich stron konfliktu,</w:t>
      </w:r>
    </w:p>
    <w:p w14:paraId="3F5F97BC" w14:textId="77777777" w:rsidR="00E3461C" w:rsidRPr="00EB688D" w:rsidRDefault="00E3461C" w:rsidP="00EB688D">
      <w:pPr>
        <w:pStyle w:val="Akapitzlist"/>
        <w:numPr>
          <w:ilvl w:val="0"/>
          <w:numId w:val="2"/>
        </w:numPr>
        <w:spacing w:after="0" w:line="288" w:lineRule="auto"/>
        <w:ind w:left="397" w:firstLine="29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lastRenderedPageBreak/>
        <w:t xml:space="preserve">niezwłocznie podejmuje próbę mediacji i doprowadzenia do ugody stron konfliktu. </w:t>
      </w:r>
    </w:p>
    <w:p w14:paraId="514CCFE7" w14:textId="77777777" w:rsidR="00E3461C" w:rsidRPr="00EB688D" w:rsidRDefault="00E3461C" w:rsidP="00EB688D">
      <w:pPr>
        <w:pStyle w:val="Akapitzlist"/>
        <w:numPr>
          <w:ilvl w:val="0"/>
          <w:numId w:val="9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pacing w:val="-2"/>
          <w:sz w:val="24"/>
          <w:szCs w:val="24"/>
        </w:rPr>
        <w:t xml:space="preserve">Na pisemny wniosek Zespołu odpowiednia jednostka Uczelni udostępnia Zespołowi dokumenty niezbędne do rozpatrzenia sprawy, jeżeli odrębne przepisy nie zabraniają udostępnienia tych dokumentów. </w:t>
      </w:r>
    </w:p>
    <w:p w14:paraId="0AD0AB23" w14:textId="4FE7475F" w:rsidR="00E3461C" w:rsidRPr="00EB688D" w:rsidRDefault="00E3461C" w:rsidP="00EB688D">
      <w:pPr>
        <w:pStyle w:val="Akapitzlist"/>
        <w:numPr>
          <w:ilvl w:val="0"/>
          <w:numId w:val="9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Wyznaczony do obsługi Komisji pracownik administracji zawiadamia drogą elektroniczną członków Komisji lub Zespołu o terminie, miejscu i przedmiocie posiedzenia, nie później niż na</w:t>
      </w:r>
      <w:r w:rsidR="001E17E2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>7 dni przed planowaną datą posiedzenia, a także dostarcza ewentualnie dokumenty niezbędne do rozpatrzenia sprawy.</w:t>
      </w:r>
    </w:p>
    <w:p w14:paraId="02420582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5</w:t>
      </w:r>
    </w:p>
    <w:p w14:paraId="39D9EAA6" w14:textId="7033D479" w:rsidR="00E3461C" w:rsidRPr="00EB688D" w:rsidRDefault="00E3461C" w:rsidP="00EB688D">
      <w:pPr>
        <w:pStyle w:val="Akapitzlist"/>
        <w:numPr>
          <w:ilvl w:val="0"/>
          <w:numId w:val="3"/>
        </w:numPr>
        <w:spacing w:after="0" w:line="288" w:lineRule="auto"/>
        <w:ind w:left="425" w:hanging="425"/>
        <w:jc w:val="both"/>
        <w:rPr>
          <w:rFonts w:ascii="Calibri" w:hAnsi="Calibri" w:cs="Calibri"/>
          <w:spacing w:val="-2"/>
          <w:sz w:val="24"/>
          <w:szCs w:val="24"/>
        </w:rPr>
      </w:pPr>
      <w:r w:rsidRPr="00EB688D">
        <w:rPr>
          <w:rFonts w:ascii="Calibri" w:hAnsi="Calibri" w:cs="Calibri"/>
          <w:spacing w:val="-2"/>
          <w:sz w:val="24"/>
          <w:szCs w:val="24"/>
        </w:rPr>
        <w:t>Członek Zespołu nie może orzekać w sprawach dotyczących członka jego rodziny lub osoby pozostającej z nim w faktycznym pożyciu, a także jeśli zachodzą uzasadnione wątpliwości, co</w:t>
      </w:r>
      <w:r w:rsidR="006C1941" w:rsidRPr="00EB688D">
        <w:rPr>
          <w:rFonts w:ascii="Calibri" w:hAnsi="Calibri" w:cs="Calibri"/>
          <w:spacing w:val="-2"/>
          <w:sz w:val="24"/>
          <w:szCs w:val="24"/>
        </w:rPr>
        <w:t> </w:t>
      </w:r>
      <w:r w:rsidRPr="00EB688D">
        <w:rPr>
          <w:rFonts w:ascii="Calibri" w:hAnsi="Calibri" w:cs="Calibri"/>
          <w:spacing w:val="-2"/>
          <w:sz w:val="24"/>
          <w:szCs w:val="24"/>
        </w:rPr>
        <w:t>do</w:t>
      </w:r>
      <w:r w:rsidR="006C1941" w:rsidRPr="00EB688D">
        <w:rPr>
          <w:rFonts w:ascii="Calibri" w:hAnsi="Calibri" w:cs="Calibri"/>
          <w:spacing w:val="-2"/>
          <w:sz w:val="24"/>
          <w:szCs w:val="24"/>
        </w:rPr>
        <w:t> </w:t>
      </w:r>
      <w:r w:rsidRPr="00EB688D">
        <w:rPr>
          <w:rFonts w:ascii="Calibri" w:hAnsi="Calibri" w:cs="Calibri"/>
          <w:spacing w:val="-2"/>
          <w:sz w:val="24"/>
          <w:szCs w:val="24"/>
        </w:rPr>
        <w:t xml:space="preserve">jego bezstronności. </w:t>
      </w:r>
    </w:p>
    <w:p w14:paraId="780BB267" w14:textId="77777777" w:rsidR="00E3461C" w:rsidRPr="00EB688D" w:rsidRDefault="00E3461C" w:rsidP="00EB688D">
      <w:pPr>
        <w:pStyle w:val="Akapitzlist"/>
        <w:numPr>
          <w:ilvl w:val="0"/>
          <w:numId w:val="3"/>
        </w:numPr>
        <w:spacing w:after="0" w:line="288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 xml:space="preserve">W uzasadnionych przypadkach może nastąpić wyłączenie członka Zespołu, także na pisemny wniosek samego członka lub na pisemny wniosek strony postępowania. </w:t>
      </w:r>
    </w:p>
    <w:p w14:paraId="73C810ED" w14:textId="77777777" w:rsidR="00E3461C" w:rsidRPr="00EB688D" w:rsidRDefault="00E3461C" w:rsidP="00EB688D">
      <w:pPr>
        <w:pStyle w:val="Akapitzlist"/>
        <w:numPr>
          <w:ilvl w:val="0"/>
          <w:numId w:val="3"/>
        </w:numPr>
        <w:spacing w:after="0" w:line="288" w:lineRule="auto"/>
        <w:ind w:left="425" w:hanging="425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O wyłączeniu w przypadku o którym mowa w ust. 2 decyduje przewodniczący Komisji.</w:t>
      </w:r>
    </w:p>
    <w:p w14:paraId="5D3E4982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6</w:t>
      </w:r>
    </w:p>
    <w:p w14:paraId="3996F258" w14:textId="0F6B2543" w:rsidR="00E3461C" w:rsidRPr="00EB688D" w:rsidRDefault="00E3461C" w:rsidP="00EB688D">
      <w:pPr>
        <w:pStyle w:val="Akapitzlist"/>
        <w:numPr>
          <w:ilvl w:val="0"/>
          <w:numId w:val="10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Od decyzji o wyłączeniu członka z udziału w Zespole lub odmowie jego wyłączenia, stronom postępowania przysługuje odwołanie do Senackiej Komisji Arbitrażowej w terminie 7 dni od</w:t>
      </w:r>
      <w:r w:rsidR="006C1941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 xml:space="preserve">daty otrzymania ww. decyzji. </w:t>
      </w:r>
    </w:p>
    <w:p w14:paraId="6EDBE5F2" w14:textId="77777777" w:rsidR="00E3461C" w:rsidRPr="00EB688D" w:rsidRDefault="00E3461C" w:rsidP="00EB688D">
      <w:pPr>
        <w:pStyle w:val="Akapitzlist"/>
        <w:numPr>
          <w:ilvl w:val="0"/>
          <w:numId w:val="10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Odwołanie, o którym mowa w ust. 1, rozpoznaje Komisja, bez udziału przewodniczącego, który wydał zaskarżoną decyzję.</w:t>
      </w:r>
    </w:p>
    <w:p w14:paraId="051155CD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7</w:t>
      </w:r>
    </w:p>
    <w:p w14:paraId="051547B5" w14:textId="77777777" w:rsidR="00E3461C" w:rsidRPr="00EB688D" w:rsidRDefault="00E3461C" w:rsidP="00EB688D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Zespół, po wysłuchaniu stron konfliktu i ewentualnym zapoznaniu się z dokumentami, przygotowuje sprawozdanie i wnioski z przeprowadzonego postępowania, proponowaną treść ugody, jeśli okoliczności sprawy umożliwiają jej zawarcie, a następnie:</w:t>
      </w:r>
    </w:p>
    <w:p w14:paraId="1C6CA101" w14:textId="77777777" w:rsidR="00E3461C" w:rsidRPr="00EB688D" w:rsidRDefault="00E3461C" w:rsidP="00EB688D">
      <w:pPr>
        <w:pStyle w:val="Akapitzlist"/>
        <w:numPr>
          <w:ilvl w:val="1"/>
          <w:numId w:val="4"/>
        </w:numPr>
        <w:spacing w:after="0" w:line="288" w:lineRule="auto"/>
        <w:ind w:left="851" w:hanging="425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 przypadku zawarcia ugody - kończy pracę przekazując odpowiednio Rektorowi lub Prorektorowi ds. Nauki dokumenty, sprawozdanie i treść podpisanej ugody;</w:t>
      </w:r>
    </w:p>
    <w:p w14:paraId="0E696A53" w14:textId="1C814632" w:rsidR="00E3461C" w:rsidRPr="00EB688D" w:rsidRDefault="00E3461C" w:rsidP="00EB688D">
      <w:pPr>
        <w:pStyle w:val="Akapitzlist"/>
        <w:numPr>
          <w:ilvl w:val="1"/>
          <w:numId w:val="4"/>
        </w:numPr>
        <w:spacing w:after="0" w:line="288" w:lineRule="auto"/>
        <w:ind w:left="851" w:hanging="425"/>
        <w:jc w:val="both"/>
        <w:rPr>
          <w:rFonts w:ascii="Calibri" w:hAnsi="Calibri" w:cs="Calibri"/>
          <w:spacing w:val="-2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w przypadku niezawarcia ugody - przekazuje dokumenty, sprawozdanie z posiedzeń, wraz z</w:t>
      </w:r>
      <w:r w:rsidR="006C1941" w:rsidRPr="00EB688D">
        <w:rPr>
          <w:rFonts w:ascii="Calibri" w:hAnsi="Calibri" w:cs="Calibri"/>
          <w:spacing w:val="-4"/>
          <w:sz w:val="24"/>
          <w:szCs w:val="24"/>
        </w:rPr>
        <w:t> </w:t>
      </w:r>
      <w:r w:rsidRPr="00EB688D">
        <w:rPr>
          <w:rFonts w:ascii="Calibri" w:hAnsi="Calibri" w:cs="Calibri"/>
          <w:spacing w:val="2"/>
          <w:sz w:val="24"/>
          <w:szCs w:val="24"/>
        </w:rPr>
        <w:t>protokołami i wnioskami o ewentualne przeprowadzenie postępowania wyjaśniającego o charakterze</w:t>
      </w:r>
      <w:r w:rsidRPr="00EB688D">
        <w:rPr>
          <w:rFonts w:ascii="Calibri" w:hAnsi="Calibri" w:cs="Calibri"/>
          <w:spacing w:val="-2"/>
          <w:sz w:val="24"/>
          <w:szCs w:val="24"/>
        </w:rPr>
        <w:t xml:space="preserve"> dyscyplinarnym lub zmian organizacyjnych odpowiednio Rektorowi lub Prorektorowi ds. Nauki, którzy wydają decyzję kończącą postępowanie w sprawie.</w:t>
      </w:r>
    </w:p>
    <w:p w14:paraId="7D20A626" w14:textId="77777777" w:rsidR="00E3461C" w:rsidRPr="00EB688D" w:rsidRDefault="00E3461C" w:rsidP="00EB688D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Po zakończeniu czynności w danej sprawie Zespół informuje Przewodniczącego Komisji o wyniku postępowania.</w:t>
      </w:r>
    </w:p>
    <w:p w14:paraId="68930241" w14:textId="266EB140" w:rsidR="00E3461C" w:rsidRPr="00EB688D" w:rsidRDefault="00E3461C" w:rsidP="00EB688D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 przypadku, o którym mowa w ust. 1 pkt 2 decyzja odpowiednio Rektora lub Prorektora ds.</w:t>
      </w:r>
      <w:r w:rsidR="006C1941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>Nauki jest ostateczna.</w:t>
      </w:r>
    </w:p>
    <w:p w14:paraId="31ACDEE1" w14:textId="77777777" w:rsidR="00CB1062" w:rsidRDefault="00CB1062" w:rsidP="00CB1062">
      <w:pPr>
        <w:spacing w:before="240" w:after="0" w:line="288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6ACA5A97" w14:textId="409866CF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lastRenderedPageBreak/>
        <w:t>§ 8</w:t>
      </w:r>
    </w:p>
    <w:p w14:paraId="70025108" w14:textId="6D11807D" w:rsidR="00E3461C" w:rsidRPr="00EB688D" w:rsidRDefault="00E3461C" w:rsidP="00EB688D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 xml:space="preserve">Z każdego posiedzenia Komisji oraz Zespołu, pracownik administracji obsługujący komisję lub posiedzenie zespołu sporządza protokół. </w:t>
      </w:r>
      <w:r w:rsidR="000C3E64" w:rsidRPr="00EB688D">
        <w:rPr>
          <w:rFonts w:ascii="Calibri" w:hAnsi="Calibri" w:cs="Calibri"/>
          <w:sz w:val="24"/>
          <w:szCs w:val="24"/>
        </w:rPr>
        <w:t>W celu sporządzenia protokołu, p</w:t>
      </w:r>
      <w:r w:rsidRPr="00EB688D">
        <w:rPr>
          <w:rFonts w:ascii="Calibri" w:hAnsi="Calibri" w:cs="Calibri"/>
          <w:sz w:val="24"/>
          <w:szCs w:val="24"/>
        </w:rPr>
        <w:t>rzebieg posiedzenia może być zapisywany na nośniku elektronicznym (zapis audio).</w:t>
      </w:r>
      <w:r w:rsidR="0058658E" w:rsidRPr="00EB688D">
        <w:rPr>
          <w:rFonts w:ascii="Calibri" w:hAnsi="Calibri" w:cs="Calibri"/>
          <w:sz w:val="24"/>
          <w:szCs w:val="24"/>
        </w:rPr>
        <w:t xml:space="preserve"> </w:t>
      </w:r>
      <w:r w:rsidR="00CB1062">
        <w:rPr>
          <w:rFonts w:ascii="Calibri" w:hAnsi="Calibri" w:cs="Calibri"/>
          <w:sz w:val="24"/>
          <w:szCs w:val="24"/>
        </w:rPr>
        <w:br/>
      </w:r>
      <w:r w:rsidR="0058658E" w:rsidRPr="00EB688D">
        <w:rPr>
          <w:rFonts w:ascii="Calibri" w:hAnsi="Calibri" w:cs="Calibri"/>
          <w:sz w:val="24"/>
          <w:szCs w:val="24"/>
        </w:rPr>
        <w:t xml:space="preserve">Po </w:t>
      </w:r>
      <w:r w:rsidR="002F199B" w:rsidRPr="00EB688D">
        <w:rPr>
          <w:rFonts w:ascii="Calibri" w:hAnsi="Calibri" w:cs="Calibri"/>
          <w:sz w:val="24"/>
          <w:szCs w:val="24"/>
        </w:rPr>
        <w:t>sporządzeniu protokołu oraz jego zatwierdzeniu zgodnie z § 10, zapis audio przebiegu posiedzenia, o którym mowa w zdaniu poprzednim jest niezwłocznie niszczony.</w:t>
      </w:r>
    </w:p>
    <w:p w14:paraId="23EB9B9D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9</w:t>
      </w:r>
    </w:p>
    <w:p w14:paraId="20BDABAE" w14:textId="77777777" w:rsidR="00E3461C" w:rsidRPr="00EB688D" w:rsidRDefault="00E3461C" w:rsidP="00EB688D">
      <w:pPr>
        <w:pStyle w:val="Akapitzlist"/>
        <w:numPr>
          <w:ilvl w:val="0"/>
          <w:numId w:val="5"/>
        </w:numPr>
        <w:spacing w:after="0" w:line="288" w:lineRule="auto"/>
        <w:ind w:left="426" w:hanging="426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Protokół z posiedzenia Komisji lub Zespołu powinien zawierać następujące elementy:</w:t>
      </w:r>
    </w:p>
    <w:p w14:paraId="276FFD4A" w14:textId="77777777" w:rsidR="00E3461C" w:rsidRPr="00EB688D" w:rsidRDefault="00E3461C" w:rsidP="00EB688D">
      <w:pPr>
        <w:pStyle w:val="Akapitzlist"/>
        <w:numPr>
          <w:ilvl w:val="0"/>
          <w:numId w:val="6"/>
        </w:numPr>
        <w:spacing w:after="0" w:line="288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nazwę Komisji i odpowiednio skład Zespołu,</w:t>
      </w:r>
    </w:p>
    <w:p w14:paraId="0E54D9E0" w14:textId="77777777" w:rsidR="00E3461C" w:rsidRPr="00EB688D" w:rsidRDefault="00E3461C" w:rsidP="00EB688D">
      <w:pPr>
        <w:pStyle w:val="Akapitzlist"/>
        <w:numPr>
          <w:ilvl w:val="0"/>
          <w:numId w:val="6"/>
        </w:numPr>
        <w:spacing w:after="0" w:line="288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datę posiedzenia Komisji lub Zespołu,</w:t>
      </w:r>
    </w:p>
    <w:p w14:paraId="68371F9E" w14:textId="77777777" w:rsidR="00E3461C" w:rsidRPr="00EB688D" w:rsidRDefault="00E3461C" w:rsidP="00EB688D">
      <w:pPr>
        <w:pStyle w:val="Akapitzlist"/>
        <w:numPr>
          <w:ilvl w:val="0"/>
          <w:numId w:val="6"/>
        </w:numPr>
        <w:spacing w:after="0" w:line="288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przebieg posiedzenia Komisji lub Zespołu,</w:t>
      </w:r>
    </w:p>
    <w:p w14:paraId="25C4E7E9" w14:textId="77777777" w:rsidR="00E3461C" w:rsidRPr="00EB688D" w:rsidRDefault="00E3461C" w:rsidP="00EB688D">
      <w:pPr>
        <w:pStyle w:val="Akapitzlist"/>
        <w:numPr>
          <w:ilvl w:val="0"/>
          <w:numId w:val="6"/>
        </w:numPr>
        <w:spacing w:after="0" w:line="288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podjęte uchwały,</w:t>
      </w:r>
    </w:p>
    <w:p w14:paraId="0E01A49F" w14:textId="21AA9ECA" w:rsidR="00E3461C" w:rsidRPr="00EB688D" w:rsidRDefault="00E3461C" w:rsidP="00EB688D">
      <w:pPr>
        <w:pStyle w:val="Akapitzlist"/>
        <w:numPr>
          <w:ilvl w:val="0"/>
          <w:numId w:val="6"/>
        </w:numPr>
        <w:spacing w:after="0" w:line="288" w:lineRule="auto"/>
        <w:ind w:left="851" w:hanging="425"/>
        <w:jc w:val="both"/>
        <w:rPr>
          <w:rFonts w:ascii="Calibri" w:hAnsi="Calibri" w:cs="Calibri"/>
          <w:spacing w:val="-2"/>
          <w:sz w:val="24"/>
          <w:szCs w:val="24"/>
        </w:rPr>
      </w:pPr>
      <w:r w:rsidRPr="00EB688D">
        <w:rPr>
          <w:rFonts w:ascii="Calibri" w:hAnsi="Calibri" w:cs="Calibri"/>
          <w:spacing w:val="-2"/>
          <w:sz w:val="24"/>
          <w:szCs w:val="24"/>
        </w:rPr>
        <w:t>do protokołu winny być załączone wszystkie dokumenty i materiały omawiane na</w:t>
      </w:r>
      <w:r w:rsidR="006C1941" w:rsidRPr="00EB688D">
        <w:rPr>
          <w:rFonts w:ascii="Calibri" w:hAnsi="Calibri" w:cs="Calibri"/>
          <w:spacing w:val="-2"/>
          <w:sz w:val="24"/>
          <w:szCs w:val="24"/>
        </w:rPr>
        <w:t> </w:t>
      </w:r>
      <w:r w:rsidRPr="00EB688D">
        <w:rPr>
          <w:rFonts w:ascii="Calibri" w:hAnsi="Calibri" w:cs="Calibri"/>
          <w:spacing w:val="-2"/>
          <w:sz w:val="24"/>
          <w:szCs w:val="24"/>
        </w:rPr>
        <w:t>posiedzeniu Komisji lub Zespołu</w:t>
      </w:r>
      <w:r w:rsidR="000C3E64" w:rsidRPr="00EB688D">
        <w:rPr>
          <w:rFonts w:ascii="Calibri" w:hAnsi="Calibri" w:cs="Calibri"/>
          <w:spacing w:val="-2"/>
          <w:sz w:val="24"/>
          <w:szCs w:val="24"/>
        </w:rPr>
        <w:t>.</w:t>
      </w:r>
      <w:r w:rsidRPr="00EB688D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70152C78" w14:textId="77777777" w:rsidR="00E3461C" w:rsidRPr="00EB688D" w:rsidRDefault="00E3461C" w:rsidP="00CB1062">
      <w:pPr>
        <w:pStyle w:val="Akapitzlist"/>
        <w:numPr>
          <w:ilvl w:val="0"/>
          <w:numId w:val="5"/>
        </w:numPr>
        <w:spacing w:after="240" w:line="288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Lista obecności na posiedzeniu stanowi załącznik do protokołu.</w:t>
      </w:r>
    </w:p>
    <w:p w14:paraId="04260042" w14:textId="77777777" w:rsidR="00CB1062" w:rsidRDefault="00CB1062" w:rsidP="00CB1062">
      <w:pPr>
        <w:pStyle w:val="Akapitzlist"/>
        <w:spacing w:before="240" w:after="0" w:line="288" w:lineRule="auto"/>
        <w:ind w:left="0"/>
        <w:contextualSpacing w:val="0"/>
        <w:jc w:val="center"/>
        <w:rPr>
          <w:rFonts w:ascii="Calibri" w:hAnsi="Calibri" w:cs="Calibri"/>
          <w:bCs/>
          <w:sz w:val="24"/>
          <w:szCs w:val="24"/>
        </w:rPr>
      </w:pPr>
    </w:p>
    <w:p w14:paraId="7757E716" w14:textId="341426EC" w:rsidR="00E3461C" w:rsidRPr="00EB688D" w:rsidRDefault="00E3461C" w:rsidP="00CB1062">
      <w:pPr>
        <w:pStyle w:val="Akapitzlist"/>
        <w:spacing w:after="0" w:line="288" w:lineRule="auto"/>
        <w:ind w:left="0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10</w:t>
      </w:r>
    </w:p>
    <w:p w14:paraId="02491BA0" w14:textId="77777777" w:rsidR="00E3461C" w:rsidRPr="00EB688D" w:rsidRDefault="00E3461C" w:rsidP="00EB688D">
      <w:pPr>
        <w:pStyle w:val="Akapitzlist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Protokół z posiedzenia Komisji podpisuje przewodniczący Komisji, a w razie jego nieobecności jego zastępca.</w:t>
      </w:r>
    </w:p>
    <w:p w14:paraId="49B57A81" w14:textId="77777777" w:rsidR="00E3461C" w:rsidRPr="00EB688D" w:rsidRDefault="00E3461C" w:rsidP="00EB688D">
      <w:pPr>
        <w:pStyle w:val="Akapitzlist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 xml:space="preserve">Protokół z posiedzenia Zespołu podpisują wszyscy jego członkowie.  </w:t>
      </w:r>
    </w:p>
    <w:p w14:paraId="5229753D" w14:textId="77777777" w:rsidR="00E3461C" w:rsidRPr="00EB688D" w:rsidRDefault="00E3461C" w:rsidP="00EB688D">
      <w:pPr>
        <w:pStyle w:val="Akapitzlist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Przewodniczący parafuje każdą stronę protokołu.</w:t>
      </w:r>
    </w:p>
    <w:p w14:paraId="1B8395DB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11</w:t>
      </w:r>
    </w:p>
    <w:p w14:paraId="2218AD3B" w14:textId="77777777" w:rsidR="00E3461C" w:rsidRPr="00EB688D" w:rsidRDefault="00E3461C" w:rsidP="00EB688D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>Wszystkie dokumenty z posiedzeń Komisji przechowywane są przez pracownika administracji wyznaczonego do obsługi Komisji.</w:t>
      </w:r>
    </w:p>
    <w:p w14:paraId="27BA6C87" w14:textId="77777777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12</w:t>
      </w:r>
    </w:p>
    <w:p w14:paraId="35E24472" w14:textId="77777777" w:rsidR="00E3461C" w:rsidRPr="00EB688D" w:rsidRDefault="00E3461C" w:rsidP="00EB688D">
      <w:pPr>
        <w:spacing w:after="0" w:line="288" w:lineRule="auto"/>
        <w:jc w:val="both"/>
        <w:rPr>
          <w:rFonts w:ascii="Calibri" w:hAnsi="Calibri" w:cs="Calibri"/>
          <w:spacing w:val="-4"/>
          <w:sz w:val="24"/>
          <w:szCs w:val="24"/>
        </w:rPr>
      </w:pPr>
      <w:r w:rsidRPr="00EB688D">
        <w:rPr>
          <w:rFonts w:ascii="Calibri" w:hAnsi="Calibri" w:cs="Calibri"/>
          <w:spacing w:val="-4"/>
          <w:sz w:val="24"/>
          <w:szCs w:val="24"/>
        </w:rPr>
        <w:t>Protokoły z posiedzeń Komisji lub Zespołu (w tym ich kserokopie) są udostępniane za zgodą Rektora.</w:t>
      </w:r>
    </w:p>
    <w:p w14:paraId="4468953E" w14:textId="2A0B0D08" w:rsidR="00E3461C" w:rsidRPr="00EB688D" w:rsidRDefault="00E3461C" w:rsidP="00CB1062">
      <w:pPr>
        <w:spacing w:before="240"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EB688D">
        <w:rPr>
          <w:rFonts w:ascii="Calibri" w:hAnsi="Calibri" w:cs="Calibri"/>
          <w:bCs/>
          <w:sz w:val="24"/>
          <w:szCs w:val="24"/>
        </w:rPr>
        <w:t>§ 13</w:t>
      </w:r>
    </w:p>
    <w:p w14:paraId="5C992B81" w14:textId="0DC1C236" w:rsidR="00526FFC" w:rsidRPr="000D15DD" w:rsidRDefault="00E3461C" w:rsidP="000D15DD">
      <w:pPr>
        <w:spacing w:after="0" w:line="288" w:lineRule="auto"/>
        <w:jc w:val="both"/>
        <w:rPr>
          <w:rFonts w:ascii="Calibri" w:hAnsi="Calibri" w:cs="Calibri"/>
          <w:bCs/>
          <w:sz w:val="24"/>
          <w:szCs w:val="24"/>
        </w:rPr>
      </w:pPr>
      <w:r w:rsidRPr="00EB688D">
        <w:rPr>
          <w:rFonts w:ascii="Calibri" w:hAnsi="Calibri" w:cs="Calibri"/>
          <w:sz w:val="24"/>
          <w:szCs w:val="24"/>
        </w:rPr>
        <w:t xml:space="preserve">Przewodniczący Komisji składa Rektorowi coroczne sprawozdanie z prac Komisji, </w:t>
      </w:r>
      <w:r w:rsidR="00CB1062">
        <w:rPr>
          <w:rFonts w:ascii="Calibri" w:hAnsi="Calibri" w:cs="Calibri"/>
          <w:sz w:val="24"/>
          <w:szCs w:val="24"/>
        </w:rPr>
        <w:br/>
      </w:r>
      <w:r w:rsidRPr="00EB688D">
        <w:rPr>
          <w:rFonts w:ascii="Calibri" w:hAnsi="Calibri" w:cs="Calibri"/>
          <w:sz w:val="24"/>
          <w:szCs w:val="24"/>
        </w:rPr>
        <w:t>w terminie do</w:t>
      </w:r>
      <w:r w:rsidR="006C1941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>31</w:t>
      </w:r>
      <w:r w:rsidR="001E17E2" w:rsidRPr="00EB688D">
        <w:rPr>
          <w:rFonts w:ascii="Calibri" w:hAnsi="Calibri" w:cs="Calibri"/>
          <w:sz w:val="24"/>
          <w:szCs w:val="24"/>
        </w:rPr>
        <w:t> </w:t>
      </w:r>
      <w:r w:rsidRPr="00EB688D">
        <w:rPr>
          <w:rFonts w:ascii="Calibri" w:hAnsi="Calibri" w:cs="Calibri"/>
          <w:sz w:val="24"/>
          <w:szCs w:val="24"/>
        </w:rPr>
        <w:t>stycznia roku następującego po roku sprawozdawczym.</w:t>
      </w:r>
      <w:r w:rsidRPr="00EB688D">
        <w:rPr>
          <w:rFonts w:ascii="Calibri" w:hAnsi="Calibri" w:cs="Calibri"/>
          <w:bCs/>
          <w:sz w:val="24"/>
          <w:szCs w:val="24"/>
        </w:rPr>
        <w:t xml:space="preserve"> </w:t>
      </w:r>
      <w:bookmarkStart w:id="0" w:name="_GoBack"/>
      <w:bookmarkEnd w:id="0"/>
    </w:p>
    <w:sectPr w:rsidR="00526FFC" w:rsidRPr="000D15DD" w:rsidSect="000D61E5">
      <w:pgSz w:w="11906" w:h="16838"/>
      <w:pgMar w:top="1247" w:right="1558" w:bottom="1418" w:left="156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B77E4" w16cex:dateUtc="2024-10-29T14:04:00Z"/>
  <w16cex:commentExtensible w16cex:durableId="2ACB791F" w16cex:dateUtc="2024-10-29T14:09:00Z"/>
  <w16cex:commentExtensible w16cex:durableId="2ACB61E2" w16cex:dateUtc="2024-10-29T12:30:00Z"/>
  <w16cex:commentExtensible w16cex:durableId="47695FB4" w16cex:dateUtc="2024-10-17T12:21:00Z"/>
  <w16cex:commentExtensible w16cex:durableId="2ACB643C" w16cex:dateUtc="2024-10-29T12:40:00Z"/>
  <w16cex:commentExtensible w16cex:durableId="2ACB79F4" w16cex:dateUtc="2024-10-29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17FA0" w16cid:durableId="2ACB77E4"/>
  <w16cid:commentId w16cid:paraId="787CF4BA" w16cid:durableId="2ACB791F"/>
  <w16cid:commentId w16cid:paraId="37B53E3E" w16cid:durableId="2ACB61E2"/>
  <w16cid:commentId w16cid:paraId="7B26C874" w16cid:durableId="3A85F297"/>
  <w16cid:commentId w16cid:paraId="0E2144D7" w16cid:durableId="47695FB4"/>
  <w16cid:commentId w16cid:paraId="6D8DE35B" w16cid:durableId="2ACB643C"/>
  <w16cid:commentId w16cid:paraId="7E21EA95" w16cid:durableId="2ACB77DA"/>
  <w16cid:commentId w16cid:paraId="021A0C44" w16cid:durableId="2ACB79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21"/>
    <w:multiLevelType w:val="hybridMultilevel"/>
    <w:tmpl w:val="4D0C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303"/>
    <w:multiLevelType w:val="hybridMultilevel"/>
    <w:tmpl w:val="63B0C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D8"/>
    <w:multiLevelType w:val="hybridMultilevel"/>
    <w:tmpl w:val="8EB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E7DA4"/>
    <w:multiLevelType w:val="hybridMultilevel"/>
    <w:tmpl w:val="BC128AA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A387148"/>
    <w:multiLevelType w:val="hybridMultilevel"/>
    <w:tmpl w:val="61AC81F6"/>
    <w:lvl w:ilvl="0" w:tplc="5CF244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490"/>
    <w:multiLevelType w:val="hybridMultilevel"/>
    <w:tmpl w:val="86167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F62E0"/>
    <w:multiLevelType w:val="hybridMultilevel"/>
    <w:tmpl w:val="2022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91D12"/>
    <w:multiLevelType w:val="hybridMultilevel"/>
    <w:tmpl w:val="075A6AA0"/>
    <w:lvl w:ilvl="0" w:tplc="6E96CA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3C1D"/>
    <w:multiLevelType w:val="hybridMultilevel"/>
    <w:tmpl w:val="672A211C"/>
    <w:lvl w:ilvl="0" w:tplc="AE9E77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9DB"/>
    <w:multiLevelType w:val="hybridMultilevel"/>
    <w:tmpl w:val="7FE60914"/>
    <w:lvl w:ilvl="0" w:tplc="E1701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C3E64"/>
    <w:rsid w:val="000D15DD"/>
    <w:rsid w:val="000D61E5"/>
    <w:rsid w:val="001E17E2"/>
    <w:rsid w:val="001F464D"/>
    <w:rsid w:val="00253A3E"/>
    <w:rsid w:val="00266AD8"/>
    <w:rsid w:val="002A48EB"/>
    <w:rsid w:val="002D1C78"/>
    <w:rsid w:val="002F199B"/>
    <w:rsid w:val="003B3D8D"/>
    <w:rsid w:val="00487CFA"/>
    <w:rsid w:val="00526FFC"/>
    <w:rsid w:val="0058658E"/>
    <w:rsid w:val="006C1941"/>
    <w:rsid w:val="006F22E9"/>
    <w:rsid w:val="00780685"/>
    <w:rsid w:val="00821E54"/>
    <w:rsid w:val="0099317A"/>
    <w:rsid w:val="00BA7005"/>
    <w:rsid w:val="00CB1062"/>
    <w:rsid w:val="00D22664"/>
    <w:rsid w:val="00DC1792"/>
    <w:rsid w:val="00E3461C"/>
    <w:rsid w:val="00EB688D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F1ED"/>
  <w15:docId w15:val="{CCB3EDB6-F702-4277-8557-855CBB4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6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C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C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C3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uchwały nr 2663/2024</dc:title>
  <dc:subject/>
  <dc:creator>Przewodniczący Senackiej Komisji arbitrażowej</dc:creator>
  <cp:keywords/>
  <dc:description/>
  <cp:lastModifiedBy>MKapera</cp:lastModifiedBy>
  <cp:revision>5</cp:revision>
  <dcterms:created xsi:type="dcterms:W3CDTF">2024-11-27T12:10:00Z</dcterms:created>
  <dcterms:modified xsi:type="dcterms:W3CDTF">2024-11-28T13:31:00Z</dcterms:modified>
</cp:coreProperties>
</file>