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5C" w:rsidRPr="00CC63BF" w:rsidRDefault="00D2425C" w:rsidP="00CC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21267" w:rsidRPr="00CC63BF" w:rsidRDefault="003548F4" w:rsidP="00CC63B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63BF">
        <w:rPr>
          <w:rFonts w:ascii="Times New Roman" w:hAnsi="Times New Roman" w:cs="Times New Roman"/>
          <w:b/>
          <w:bCs/>
        </w:rPr>
        <w:t>OZNACZANIE STĘŻENIA SALICYLANÓW W SUROWICY</w:t>
      </w:r>
    </w:p>
    <w:p w:rsidR="00D2425C" w:rsidRPr="00CC63BF" w:rsidRDefault="00D2425C" w:rsidP="00CC63B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Pochodne kwasu salicylowego (salicylany) mają silne działanie przeciwzapalne, przeciwbólowe i przeciwgorączkowe. Już w niewielkich dawkach działają również przeciwkrzepliwie i antyagregacyjnie. Łatwa dostępność tych leków sprawia, że mogą być przyczyną wielu zatruć ostrych (samobójczych lub przypadkowych). Dawkę śmiertelną ocenia się na 0,2-0,5 g/kg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m.c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>., co oznacza 25-35 g dla</w:t>
      </w:r>
      <w:r w:rsidR="002E062E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Pr="00E4782C">
        <w:rPr>
          <w:rFonts w:ascii="Times New Roman" w:hAnsi="Times New Roman" w:cs="Times New Roman"/>
          <w:sz w:val="24"/>
          <w:szCs w:val="24"/>
        </w:rPr>
        <w:t xml:space="preserve">człowieka dorosłego i powyżej 10 g dla dziecka. </w:t>
      </w:r>
      <w:r w:rsidR="00713307">
        <w:rPr>
          <w:rFonts w:ascii="Times New Roman" w:hAnsi="Times New Roman" w:cs="Times New Roman"/>
          <w:sz w:val="24"/>
          <w:szCs w:val="24"/>
        </w:rPr>
        <w:t xml:space="preserve">      </w:t>
      </w:r>
      <w:r w:rsidR="00C43CE3" w:rsidRPr="00E4782C">
        <w:rPr>
          <w:rFonts w:ascii="Times New Roman" w:hAnsi="Times New Roman" w:cs="Times New Roman"/>
          <w:sz w:val="24"/>
          <w:szCs w:val="24"/>
        </w:rPr>
        <w:t>Po dawkach toksycznych</w:t>
      </w:r>
      <w:r w:rsidR="00B018ED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następuje bezpośrednio pobudzenie </w:t>
      </w:r>
      <w:proofErr w:type="spellStart"/>
      <w:r w:rsidR="00C43CE3" w:rsidRPr="00E4782C">
        <w:rPr>
          <w:rFonts w:ascii="Times New Roman" w:hAnsi="Times New Roman" w:cs="Times New Roman"/>
          <w:sz w:val="24"/>
          <w:szCs w:val="24"/>
        </w:rPr>
        <w:t>o.u.n</w:t>
      </w:r>
      <w:proofErr w:type="spellEnd"/>
      <w:r w:rsidR="00C43CE3" w:rsidRPr="00E4782C">
        <w:rPr>
          <w:rFonts w:ascii="Times New Roman" w:hAnsi="Times New Roman" w:cs="Times New Roman"/>
          <w:sz w:val="24"/>
          <w:szCs w:val="24"/>
        </w:rPr>
        <w:t>.</w:t>
      </w:r>
      <w:r w:rsidR="00F265A2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C43CE3" w:rsidRPr="00E4782C">
        <w:rPr>
          <w:rFonts w:ascii="Times New Roman" w:hAnsi="Times New Roman" w:cs="Times New Roman"/>
          <w:sz w:val="24"/>
          <w:szCs w:val="24"/>
        </w:rPr>
        <w:t>(tzw. encefalopatia salicylowa)</w:t>
      </w:r>
      <w:r w:rsidR="002E062E" w:rsidRPr="00E4782C">
        <w:rPr>
          <w:rFonts w:ascii="Times New Roman" w:hAnsi="Times New Roman" w:cs="Times New Roman"/>
          <w:sz w:val="24"/>
          <w:szCs w:val="24"/>
        </w:rPr>
        <w:t>.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="00EE6DD0" w:rsidRPr="00E4782C">
        <w:rPr>
          <w:rFonts w:ascii="Times New Roman" w:hAnsi="Times New Roman" w:cs="Times New Roman"/>
          <w:sz w:val="24"/>
          <w:szCs w:val="24"/>
        </w:rPr>
        <w:t>W ciężkich zatruciach dochodzi do uszkodzenia włośniczek płuc i rozwoj</w:t>
      </w:r>
      <w:r w:rsidR="008E50A8" w:rsidRPr="00E4782C">
        <w:rPr>
          <w:rFonts w:ascii="Times New Roman" w:hAnsi="Times New Roman" w:cs="Times New Roman"/>
          <w:sz w:val="24"/>
          <w:szCs w:val="24"/>
        </w:rPr>
        <w:t>u</w:t>
      </w:r>
      <w:r w:rsidR="00EE6DD0" w:rsidRPr="00E4782C">
        <w:rPr>
          <w:rFonts w:ascii="Times New Roman" w:hAnsi="Times New Roman" w:cs="Times New Roman"/>
          <w:sz w:val="24"/>
          <w:szCs w:val="24"/>
        </w:rPr>
        <w:t xml:space="preserve"> ostrego uszkodzenia płuc (ARDS). Salicylany przenikają także barier</w:t>
      </w:r>
      <w:r w:rsidR="008E50A8" w:rsidRPr="00E4782C">
        <w:rPr>
          <w:rFonts w:ascii="Times New Roman" w:hAnsi="Times New Roman" w:cs="Times New Roman"/>
          <w:sz w:val="24"/>
          <w:szCs w:val="24"/>
        </w:rPr>
        <w:t>ę</w:t>
      </w:r>
      <w:r w:rsidR="00EE6DD0" w:rsidRPr="00E4782C">
        <w:rPr>
          <w:rFonts w:ascii="Times New Roman" w:hAnsi="Times New Roman" w:cs="Times New Roman"/>
          <w:sz w:val="24"/>
          <w:szCs w:val="24"/>
        </w:rPr>
        <w:t xml:space="preserve"> krew-mózg.</w:t>
      </w:r>
      <w:r w:rsidR="00C43CE3" w:rsidRPr="00E4782C">
        <w:rPr>
          <w:rFonts w:ascii="Times New Roman" w:hAnsi="Times New Roman" w:cs="Times New Roman"/>
          <w:sz w:val="24"/>
          <w:szCs w:val="24"/>
        </w:rPr>
        <w:t xml:space="preserve"> </w:t>
      </w:r>
      <w:r w:rsidRPr="00E4782C">
        <w:rPr>
          <w:rFonts w:ascii="Times New Roman" w:hAnsi="Times New Roman" w:cs="Times New Roman"/>
          <w:sz w:val="24"/>
          <w:szCs w:val="24"/>
        </w:rPr>
        <w:t xml:space="preserve">Ciężkość zatrucia </w:t>
      </w:r>
      <w:r w:rsidR="00713307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Pr="00E4782C">
        <w:rPr>
          <w:rFonts w:ascii="Times New Roman" w:hAnsi="Times New Roman" w:cs="Times New Roman"/>
          <w:sz w:val="24"/>
          <w:szCs w:val="24"/>
        </w:rPr>
        <w:t xml:space="preserve">i rokowanie zależą od stężenia salicylanów w surowicy. 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Pierwsze objawy toksyczności występują przy stężeniach powyżej 30 mg/dl. Są to: pieczenie w jamie ustnej i przełyku, brak łaknienia, znużenie, bóle i zawroty głowy, szum w uszach, zaburzenie ostrości widzenia i przyspieszenie oddechu.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Przy stężeniach powyżej 70 mg/dl występują niepokój, majaczenie, zaburzenia równowagi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senność. Wyraźnemu przyspieszeniu ulegają oddech i akcja serca. Mogą pojawić się krwawienia z nosa i przewodu pokarmowego.</w:t>
      </w:r>
    </w:p>
    <w:p w:rsidR="00C21267" w:rsidRPr="00E4782C" w:rsidRDefault="00C21267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W zatruciach ciężkich (stężenia powyżej 90 mg/dl), obok znacznego nasilenia opisanych wcześniej objawów, po przejściowym okresie pobudzenia psychoruchowego rozwija się śpiączka z zaburzeniami oddychania (do porażenia czynności oddechowej włącznie) i sinicą. Zatrucia ze stężeniami przekraczającymi 120 mg/dl zwykle kończą się zejściem śmiertelnym. </w:t>
      </w:r>
    </w:p>
    <w:p w:rsidR="00D07443" w:rsidRPr="00E4782C" w:rsidRDefault="00D07443" w:rsidP="00E47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Salicylany mogą być wykryte bezpośrednio w materiale biologicznym, tj. w moczu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osoczu (bez ekstrakcji) lub po ich ekstrakcji. Kwas acetylosalicylowy przechodzi do wyciągu eterowego ze środowiska kwaśnego, inne salicylany do eteru ze środowiska alkalicznego. Badanie na obecność kwasu acetylosalicylowego w treści żołądka lub popłuczynach żołądka może być wykonane po uprzedniej hydrolizie.</w:t>
      </w:r>
    </w:p>
    <w:p w:rsidR="00D07443" w:rsidRPr="00CC63BF" w:rsidRDefault="00D07443" w:rsidP="00CC63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D07443" w:rsidRPr="00E4782C" w:rsidRDefault="00D07443" w:rsidP="00CC63BF">
      <w:pPr>
        <w:pStyle w:val="Default"/>
        <w:jc w:val="center"/>
        <w:rPr>
          <w:u w:val="single"/>
        </w:rPr>
      </w:pPr>
      <w:r w:rsidRPr="00E4782C">
        <w:rPr>
          <w:b/>
          <w:bCs/>
          <w:u w:val="single"/>
        </w:rPr>
        <w:t>Wstępne próby do wykrywania salicylanów w materiale biologicznym</w:t>
      </w:r>
    </w:p>
    <w:p w:rsidR="00D07443" w:rsidRPr="00E4782C" w:rsidRDefault="00D07443" w:rsidP="00CC63BF">
      <w:pPr>
        <w:pStyle w:val="Default"/>
      </w:pPr>
    </w:p>
    <w:p w:rsidR="00D07443" w:rsidRPr="00E4782C" w:rsidRDefault="00E4782C" w:rsidP="00E4782C">
      <w:pPr>
        <w:pStyle w:val="Default"/>
        <w:spacing w:line="276" w:lineRule="auto"/>
        <w:jc w:val="both"/>
        <w:rPr>
          <w:b/>
        </w:rPr>
      </w:pPr>
      <w:r w:rsidRPr="00E4782C">
        <w:rPr>
          <w:b/>
        </w:rPr>
        <w:t>ODCZYNNIKI:</w:t>
      </w:r>
    </w:p>
    <w:p w:rsidR="00D07443" w:rsidRPr="00E4782C" w:rsidRDefault="00736F38" w:rsidP="00E4782C">
      <w:pPr>
        <w:pStyle w:val="Default"/>
        <w:spacing w:line="276" w:lineRule="auto"/>
        <w:ind w:firstLine="426"/>
        <w:jc w:val="both"/>
      </w:pPr>
      <w:r w:rsidRPr="00E4782C">
        <w:t xml:space="preserve">- </w:t>
      </w:r>
      <w:r w:rsidR="00D07443" w:rsidRPr="00E4782C">
        <w:t xml:space="preserve">10% FeCl3 </w:t>
      </w:r>
    </w:p>
    <w:p w:rsidR="00A955C1" w:rsidRPr="00E4782C" w:rsidRDefault="00736F38" w:rsidP="00E4782C">
      <w:pPr>
        <w:pStyle w:val="Default"/>
        <w:spacing w:line="276" w:lineRule="auto"/>
        <w:ind w:firstLine="426"/>
        <w:jc w:val="both"/>
      </w:pPr>
      <w:r w:rsidRPr="00E4782C">
        <w:t xml:space="preserve">- </w:t>
      </w:r>
      <w:r w:rsidR="00D07443" w:rsidRPr="00E4782C">
        <w:t>Etanol</w:t>
      </w:r>
    </w:p>
    <w:p w:rsidR="00D07443" w:rsidRPr="00E4782C" w:rsidRDefault="00D07443" w:rsidP="00E4782C">
      <w:pPr>
        <w:pStyle w:val="Default"/>
        <w:spacing w:line="276" w:lineRule="auto"/>
        <w:rPr>
          <w:sz w:val="20"/>
          <w:szCs w:val="20"/>
        </w:rPr>
      </w:pPr>
    </w:p>
    <w:p w:rsidR="00D07443" w:rsidRPr="00E4782C" w:rsidRDefault="00DB0AEB" w:rsidP="00E4782C">
      <w:pPr>
        <w:pStyle w:val="Default"/>
        <w:spacing w:line="276" w:lineRule="auto"/>
        <w:jc w:val="both"/>
        <w:rPr>
          <w:b/>
        </w:rPr>
      </w:pPr>
      <w:r w:rsidRPr="00E4782C">
        <w:rPr>
          <w:b/>
        </w:rPr>
        <w:t>WYKONANIE</w:t>
      </w:r>
    </w:p>
    <w:p w:rsidR="00D07443" w:rsidRPr="00E4782C" w:rsidRDefault="00B86EAF" w:rsidP="00E4782C">
      <w:pPr>
        <w:pStyle w:val="Default"/>
        <w:spacing w:line="276" w:lineRule="auto"/>
        <w:jc w:val="both"/>
      </w:pPr>
      <w:r>
        <w:t>1. Do probówki z próbą badaną próby i dodać 1 kroplę</w:t>
      </w:r>
      <w:r w:rsidR="00D07443" w:rsidRPr="00E4782C">
        <w:rPr>
          <w:vertAlign w:val="superscript"/>
        </w:rPr>
        <w:t xml:space="preserve"> </w:t>
      </w:r>
      <w:r w:rsidR="00D07443" w:rsidRPr="00E4782C">
        <w:t>10% FeCl</w:t>
      </w:r>
      <w:r w:rsidR="00D07443" w:rsidRPr="00E4782C">
        <w:rPr>
          <w:vertAlign w:val="subscript"/>
        </w:rPr>
        <w:t>3</w:t>
      </w:r>
      <w:r w:rsidR="00D07443" w:rsidRPr="00E4782C">
        <w:t xml:space="preserve">. Wymieszać. Pojawienie się fioletowego zabarwienia świadczy wstępnie o obecności kwasu salicylowego. </w:t>
      </w:r>
    </w:p>
    <w:p w:rsidR="00D07443" w:rsidRPr="00E4782C" w:rsidRDefault="00D07443" w:rsidP="00E4782C">
      <w:pPr>
        <w:pStyle w:val="Default"/>
        <w:spacing w:line="276" w:lineRule="auto"/>
        <w:jc w:val="both"/>
      </w:pPr>
      <w:r w:rsidRPr="00E4782C">
        <w:t xml:space="preserve">2. Dodać kilka kropli etanolu. Jeśli zabarwienie nie zniknie (jak to jest w przypadku fenolu), potwierdza to obecność kwasu salicylowego. </w:t>
      </w:r>
    </w:p>
    <w:p w:rsidR="0057450C" w:rsidRPr="00E4782C" w:rsidRDefault="0057450C" w:rsidP="00E4782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E01C14" w:rsidRPr="00E4782C" w:rsidRDefault="00E01C14" w:rsidP="00E4782C">
      <w:pPr>
        <w:tabs>
          <w:tab w:val="left" w:pos="567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82C">
        <w:rPr>
          <w:rFonts w:ascii="Times New Roman" w:hAnsi="Times New Roman" w:cs="Times New Roman"/>
          <w:b/>
          <w:bCs/>
          <w:sz w:val="24"/>
          <w:szCs w:val="24"/>
          <w:u w:val="single"/>
        </w:rPr>
        <w:t>Oznaczanie stężenia salicylanów w surowicy</w:t>
      </w:r>
    </w:p>
    <w:p w:rsidR="00BE69CF" w:rsidRPr="00E4782C" w:rsidRDefault="00BE69CF" w:rsidP="00E478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F6D65" w:rsidRPr="00E4782C" w:rsidRDefault="00DB0AEB" w:rsidP="00E4782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82C">
        <w:rPr>
          <w:rFonts w:ascii="Times New Roman" w:hAnsi="Times New Roman" w:cs="Times New Roman"/>
          <w:b/>
          <w:bCs/>
          <w:sz w:val="24"/>
          <w:szCs w:val="24"/>
        </w:rPr>
        <w:t>ZASADA METODY</w:t>
      </w:r>
    </w:p>
    <w:p w:rsidR="00E01C14" w:rsidRPr="00E4782C" w:rsidRDefault="00E01C14" w:rsidP="00E4782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4782C">
        <w:rPr>
          <w:rFonts w:ascii="Times New Roman" w:hAnsi="Times New Roman" w:cs="Times New Roman"/>
          <w:sz w:val="24"/>
          <w:szCs w:val="24"/>
        </w:rPr>
        <w:t xml:space="preserve">Kwas salicylowy i jego sole w obecności </w:t>
      </w:r>
      <w:r w:rsidR="00D92578" w:rsidRPr="00E4782C">
        <w:rPr>
          <w:rFonts w:ascii="Times New Roman" w:hAnsi="Times New Roman" w:cs="Times New Roman"/>
          <w:sz w:val="24"/>
          <w:szCs w:val="24"/>
        </w:rPr>
        <w:t>jonów</w:t>
      </w:r>
      <w:r w:rsidRPr="00E4782C">
        <w:rPr>
          <w:rFonts w:ascii="Times New Roman" w:hAnsi="Times New Roman" w:cs="Times New Roman"/>
          <w:sz w:val="24"/>
          <w:szCs w:val="24"/>
        </w:rPr>
        <w:t xml:space="preserve"> Fe3+ tworzą barwny (czerwono-fioletowy) kompleks. Dodatek chlorku rtęci powoduje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odbiałczenie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 xml:space="preserve"> próbki badanej surowicy </w:t>
      </w:r>
      <w:r w:rsidR="00E478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4782C">
        <w:rPr>
          <w:rFonts w:ascii="Times New Roman" w:hAnsi="Times New Roman" w:cs="Times New Roman"/>
          <w:sz w:val="24"/>
          <w:szCs w:val="24"/>
        </w:rPr>
        <w:t>i uwolnienie salicylanów z połączeń białkowych. Metoda charakteryzuje się małą czułością</w:t>
      </w:r>
      <w:r w:rsidR="00D92578" w:rsidRPr="00E4782C">
        <w:rPr>
          <w:rFonts w:ascii="Times New Roman" w:hAnsi="Times New Roman" w:cs="Times New Roman"/>
          <w:sz w:val="24"/>
          <w:szCs w:val="24"/>
        </w:rPr>
        <w:t>,</w:t>
      </w:r>
      <w:r w:rsidRPr="00E4782C">
        <w:rPr>
          <w:rFonts w:ascii="Times New Roman" w:hAnsi="Times New Roman" w:cs="Times New Roman"/>
          <w:sz w:val="24"/>
          <w:szCs w:val="24"/>
        </w:rPr>
        <w:t xml:space="preserve">  specyficznością, jednak może być stosowana do ilościowego oznaczania salicylanów u osób nimi zatrutych lub do monitorowania stężeń podczas leczniczego stosowania dużych dawek kwasu acetylosalicylowego (np. w leczeniu gorączki reumatycznej).</w:t>
      </w:r>
      <w:r w:rsidR="00CC63BF" w:rsidRPr="00E47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Oznaczenie polega na reakcji salicylanów z kwaśnym roztworem azotanu żelazowego, w wyniku której powstaje purpurowe zabarwienie, o maksimum absorpcji przy długości fali 536nm.</w:t>
      </w:r>
    </w:p>
    <w:p w:rsidR="007D4765" w:rsidRDefault="007D4765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ODCZYNNIKI</w:t>
      </w:r>
    </w:p>
    <w:p w:rsidR="0057450C" w:rsidRPr="00E4782C" w:rsidRDefault="0057450C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1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. </w:t>
      </w:r>
      <w:r w:rsidRPr="00E4782C">
        <w:rPr>
          <w:rFonts w:ascii="Times New Roman" w:hAnsi="Times New Roman" w:cs="Times New Roman"/>
          <w:sz w:val="24"/>
          <w:szCs w:val="24"/>
        </w:rPr>
        <w:t>0,55% A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zotan żelazowy </w:t>
      </w:r>
      <w:r w:rsidRPr="00E4782C">
        <w:rPr>
          <w:rFonts w:ascii="Times New Roman" w:hAnsi="Times New Roman" w:cs="Times New Roman"/>
          <w:sz w:val="24"/>
          <w:szCs w:val="24"/>
        </w:rPr>
        <w:t>w 0,04M k</w:t>
      </w:r>
      <w:r w:rsidR="00E01C14" w:rsidRPr="00E4782C">
        <w:rPr>
          <w:rFonts w:ascii="Times New Roman" w:hAnsi="Times New Roman" w:cs="Times New Roman"/>
          <w:sz w:val="24"/>
          <w:szCs w:val="24"/>
        </w:rPr>
        <w:t>wasie azotowym.</w:t>
      </w: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2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. </w:t>
      </w:r>
      <w:r w:rsidR="00E01C14" w:rsidRPr="00E4782C">
        <w:rPr>
          <w:rFonts w:ascii="Times New Roman" w:hAnsi="Times New Roman" w:cs="Times New Roman"/>
          <w:sz w:val="24"/>
          <w:szCs w:val="24"/>
          <w:u w:val="single"/>
        </w:rPr>
        <w:t>Roztwór wzorcowy salicylanów</w:t>
      </w:r>
      <w:r w:rsidR="00B86EAF">
        <w:rPr>
          <w:rFonts w:ascii="Times New Roman" w:hAnsi="Times New Roman" w:cs="Times New Roman"/>
          <w:sz w:val="24"/>
          <w:szCs w:val="24"/>
        </w:rPr>
        <w:t xml:space="preserve"> 1mg/1ml.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1C14" w:rsidRPr="00E4782C" w:rsidRDefault="00DB0AEB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WYKONANIE ĆWICZENIA</w:t>
      </w:r>
    </w:p>
    <w:p w:rsidR="0057450C" w:rsidRPr="00E4782C" w:rsidRDefault="0057450C" w:rsidP="00E4782C">
      <w:pPr>
        <w:spacing w:after="0"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E01C14" w:rsidRPr="00E4782C" w:rsidRDefault="00E01C14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 xml:space="preserve">krzywa wzorcowa </w:t>
      </w:r>
    </w:p>
    <w:p w:rsidR="00B86EAF" w:rsidRDefault="00B86EA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6D65" w:rsidRPr="00E4782C" w:rsidRDefault="007F6D65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Rozcieńczenia  r</w:t>
      </w:r>
      <w:r w:rsidR="00041E3E" w:rsidRPr="00E4782C">
        <w:rPr>
          <w:rFonts w:ascii="Times New Roman" w:hAnsi="Times New Roman" w:cs="Times New Roman"/>
          <w:sz w:val="24"/>
          <w:szCs w:val="24"/>
        </w:rPr>
        <w:t>oztworu</w:t>
      </w:r>
      <w:r w:rsidRPr="00E4782C">
        <w:rPr>
          <w:rFonts w:ascii="Times New Roman" w:hAnsi="Times New Roman" w:cs="Times New Roman"/>
          <w:sz w:val="24"/>
          <w:szCs w:val="24"/>
        </w:rPr>
        <w:t xml:space="preserve"> wzorcowego salicylanów do wykonania krzywej standardowej przygotować w szklanych probówkach według poniższej tabelki:</w:t>
      </w:r>
    </w:p>
    <w:p w:rsidR="007F6D65" w:rsidRPr="00E4782C" w:rsidRDefault="007F6D65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345"/>
        <w:gridCol w:w="1668"/>
        <w:gridCol w:w="1085"/>
        <w:gridCol w:w="993"/>
        <w:gridCol w:w="992"/>
        <w:gridCol w:w="992"/>
        <w:gridCol w:w="992"/>
      </w:tblGrid>
      <w:tr w:rsidR="00184649" w:rsidRPr="00E4782C" w:rsidTr="00184649">
        <w:tc>
          <w:tcPr>
            <w:tcW w:w="2345" w:type="dxa"/>
            <w:shd w:val="clear" w:color="auto" w:fill="D9D9D9" w:themeFill="background1" w:themeFillShade="D9"/>
            <w:vAlign w:val="center"/>
          </w:tcPr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Stężenie salicylanów (mg/ml</w:t>
            </w:r>
            <w:r w:rsidR="00184649"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(próba ślepa)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0,8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84649" w:rsidRPr="00E4782C" w:rsidTr="00184649">
        <w:trPr>
          <w:trHeight w:val="499"/>
        </w:trPr>
        <w:tc>
          <w:tcPr>
            <w:tcW w:w="2345" w:type="dxa"/>
            <w:vAlign w:val="center"/>
          </w:tcPr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Roztwór wzorcowy salicylanów [ml</w:t>
            </w:r>
            <w:r w:rsidR="00184649" w:rsidRPr="00E478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68" w:type="dxa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5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3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84649" w:rsidRPr="00E4782C" w:rsidTr="00184649">
        <w:trPr>
          <w:trHeight w:val="419"/>
        </w:trPr>
        <w:tc>
          <w:tcPr>
            <w:tcW w:w="2345" w:type="dxa"/>
            <w:vAlign w:val="center"/>
          </w:tcPr>
          <w:p w:rsidR="00184649" w:rsidRPr="00E4782C" w:rsidRDefault="00361ADA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Woda dejonizowana [ml</w:t>
            </w:r>
            <w:r w:rsidR="00184649" w:rsidRPr="00E4782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1668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85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93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vAlign w:val="center"/>
          </w:tcPr>
          <w:p w:rsidR="00184649" w:rsidRPr="00E4782C" w:rsidRDefault="00B86EAF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vAlign w:val="center"/>
          </w:tcPr>
          <w:p w:rsidR="00184649" w:rsidRPr="00E4782C" w:rsidRDefault="00184649" w:rsidP="00E478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43905" w:rsidRPr="00E4782C" w:rsidRDefault="00C43905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C14" w:rsidRPr="00E4782C" w:rsidRDefault="00D42CAA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Dalej postępować jak z próbą badaną</w:t>
      </w:r>
      <w:r w:rsidR="00D0181F" w:rsidRPr="00E4782C">
        <w:rPr>
          <w:rFonts w:ascii="Times New Roman" w:hAnsi="Times New Roman" w:cs="Times New Roman"/>
          <w:sz w:val="24"/>
          <w:szCs w:val="24"/>
        </w:rPr>
        <w:t>. Po odczytaniu wartości absorbancji dla poszczególnych stężeń, wykreśla się krzywą kalibracji  na której stężenie salicylanów wyrażone jest w mg/ml.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01C14" w:rsidRPr="00E4782C" w:rsidRDefault="00D42CAA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próba badana</w:t>
      </w:r>
    </w:p>
    <w:p w:rsidR="00E4782C" w:rsidRPr="00E4782C" w:rsidRDefault="00E4782C" w:rsidP="00E4782C">
      <w:pPr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01C14" w:rsidRPr="00E4782C" w:rsidRDefault="00B86EA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0,5 ml próby  dodać 4,5</w:t>
      </w:r>
      <w:r w:rsidR="00E01C14" w:rsidRPr="00E4782C">
        <w:rPr>
          <w:rFonts w:ascii="Times New Roman" w:hAnsi="Times New Roman" w:cs="Times New Roman"/>
          <w:sz w:val="24"/>
          <w:szCs w:val="24"/>
        </w:rPr>
        <w:t xml:space="preserve"> ml 0,55% roztworu azotanu żelazowego w 0,04M kwasie azotowym. W obecności salicylanów powstaje purpurowe zabarwienie o natężeniu proporcjonalnym do ich zawartości. </w:t>
      </w:r>
    </w:p>
    <w:p w:rsidR="00E01C14" w:rsidRPr="00E4782C" w:rsidRDefault="00E01C14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Odczytać</w:t>
      </w:r>
      <w:r w:rsidR="00D0181F" w:rsidRPr="00E4782C">
        <w:rPr>
          <w:rFonts w:ascii="Times New Roman" w:hAnsi="Times New Roman" w:cs="Times New Roman"/>
          <w:sz w:val="24"/>
          <w:szCs w:val="24"/>
        </w:rPr>
        <w:t xml:space="preserve"> absorbancję</w:t>
      </w:r>
      <w:r w:rsidR="00B86EAF">
        <w:rPr>
          <w:rFonts w:ascii="Times New Roman" w:hAnsi="Times New Roman" w:cs="Times New Roman"/>
          <w:sz w:val="24"/>
          <w:szCs w:val="24"/>
        </w:rPr>
        <w:t xml:space="preserve"> wobec próby ślepej (0,5 ml wody + 4,5</w:t>
      </w:r>
      <w:r w:rsidRPr="00E4782C">
        <w:rPr>
          <w:rFonts w:ascii="Times New Roman" w:hAnsi="Times New Roman" w:cs="Times New Roman"/>
          <w:sz w:val="24"/>
          <w:szCs w:val="24"/>
        </w:rPr>
        <w:t xml:space="preserve"> ml </w:t>
      </w:r>
      <w:r w:rsidR="00CA44CF" w:rsidRPr="00E4782C">
        <w:rPr>
          <w:rFonts w:ascii="Times New Roman" w:hAnsi="Times New Roman" w:cs="Times New Roman"/>
          <w:sz w:val="24"/>
          <w:szCs w:val="24"/>
        </w:rPr>
        <w:t xml:space="preserve">0,55% </w:t>
      </w:r>
      <w:r w:rsidRPr="00E4782C">
        <w:rPr>
          <w:rFonts w:ascii="Times New Roman" w:hAnsi="Times New Roman" w:cs="Times New Roman"/>
          <w:sz w:val="24"/>
          <w:szCs w:val="24"/>
        </w:rPr>
        <w:t xml:space="preserve">azotanu żelazowego) przy długości fali 536 </w:t>
      </w:r>
      <w:proofErr w:type="spellStart"/>
      <w:r w:rsidRPr="00E4782C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 xml:space="preserve"> za pomocą</w:t>
      </w:r>
      <w:r w:rsidR="00361A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ADA">
        <w:rPr>
          <w:rFonts w:ascii="Times New Roman" w:hAnsi="Times New Roman" w:cs="Times New Roman"/>
          <w:sz w:val="24"/>
          <w:szCs w:val="24"/>
        </w:rPr>
        <w:t>spektofotometru</w:t>
      </w:r>
      <w:proofErr w:type="spellEnd"/>
      <w:r w:rsidRPr="00E4782C">
        <w:rPr>
          <w:rFonts w:ascii="Times New Roman" w:hAnsi="Times New Roman" w:cs="Times New Roman"/>
          <w:sz w:val="24"/>
          <w:szCs w:val="24"/>
        </w:rPr>
        <w:t>.</w:t>
      </w:r>
    </w:p>
    <w:p w:rsidR="006950E4" w:rsidRPr="00E4782C" w:rsidRDefault="00D0181F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Stężenie salicylanów w surowicy odczytuje się bezpośrednio z krzywej kalibrac</w:t>
      </w:r>
      <w:r w:rsidR="00D92578" w:rsidRPr="00E4782C">
        <w:rPr>
          <w:rFonts w:ascii="Times New Roman" w:hAnsi="Times New Roman" w:cs="Times New Roman"/>
          <w:sz w:val="24"/>
          <w:szCs w:val="24"/>
        </w:rPr>
        <w:t>yjnej</w:t>
      </w:r>
      <w:r w:rsidRPr="00E4782C">
        <w:rPr>
          <w:rFonts w:ascii="Times New Roman" w:hAnsi="Times New Roman" w:cs="Times New Roman"/>
          <w:sz w:val="24"/>
          <w:szCs w:val="24"/>
        </w:rPr>
        <w:t xml:space="preserve"> w mg/ml</w:t>
      </w:r>
      <w:r w:rsidR="00033BB3" w:rsidRPr="00E4782C">
        <w:rPr>
          <w:rFonts w:ascii="Times New Roman" w:hAnsi="Times New Roman" w:cs="Times New Roman"/>
          <w:sz w:val="24"/>
          <w:szCs w:val="24"/>
        </w:rPr>
        <w:t>.</w:t>
      </w:r>
    </w:p>
    <w:p w:rsidR="00BB2671" w:rsidRPr="00E4782C" w:rsidRDefault="00BB2671" w:rsidP="00E478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BB3" w:rsidRPr="00E4782C" w:rsidRDefault="0057450C" w:rsidP="00E4782C">
      <w:pPr>
        <w:pStyle w:val="Akapitzlist"/>
        <w:numPr>
          <w:ilvl w:val="0"/>
          <w:numId w:val="5"/>
        </w:numPr>
        <w:shd w:val="clear" w:color="auto" w:fill="D9D9D9" w:themeFill="background1" w:themeFillShade="D9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2C">
        <w:rPr>
          <w:rFonts w:ascii="Times New Roman" w:hAnsi="Times New Roman" w:cs="Times New Roman"/>
          <w:b/>
          <w:sz w:val="24"/>
          <w:szCs w:val="24"/>
        </w:rPr>
        <w:t>i</w:t>
      </w:r>
      <w:r w:rsidR="00033BB3" w:rsidRPr="00E4782C">
        <w:rPr>
          <w:rFonts w:ascii="Times New Roman" w:hAnsi="Times New Roman" w:cs="Times New Roman"/>
          <w:b/>
          <w:sz w:val="24"/>
          <w:szCs w:val="24"/>
        </w:rPr>
        <w:t>nterpretacja wyników</w:t>
      </w:r>
    </w:p>
    <w:p w:rsidR="00E4782C" w:rsidRPr="00E4782C" w:rsidRDefault="00E4782C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Stężenia terapeutyczne salicylanów wynoszą: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- 10-20 mg/dl (działanie przeciwbólowe i przeciwgorączkowe)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- 20 – 30 mg/dl (działanie przeciwzapalne)</w:t>
      </w:r>
    </w:p>
    <w:p w:rsidR="00E45DDD" w:rsidRPr="00E4782C" w:rsidRDefault="00E45DDD" w:rsidP="00E4782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- 0,02 – 0,13 mg/dl (działanie antyagregacyjne).</w:t>
      </w:r>
    </w:p>
    <w:p w:rsidR="00E45DDD" w:rsidRPr="00E4782C" w:rsidRDefault="00E45DDD" w:rsidP="00E478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82C">
        <w:rPr>
          <w:rFonts w:ascii="Times New Roman" w:hAnsi="Times New Roman" w:cs="Times New Roman"/>
          <w:sz w:val="24"/>
          <w:szCs w:val="24"/>
        </w:rPr>
        <w:t>Stężenia powyżej 30 mg/dl mogą świadczyć o zatruciu salicylanami.</w:t>
      </w:r>
    </w:p>
    <w:sectPr w:rsidR="00E45DDD" w:rsidRPr="00E4782C" w:rsidSect="00E4782C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647"/>
    <w:multiLevelType w:val="hybridMultilevel"/>
    <w:tmpl w:val="CEF06908"/>
    <w:lvl w:ilvl="0" w:tplc="13EA4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D6A57"/>
    <w:multiLevelType w:val="hybridMultilevel"/>
    <w:tmpl w:val="CEF06908"/>
    <w:lvl w:ilvl="0" w:tplc="13EA40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477"/>
    <w:multiLevelType w:val="hybridMultilevel"/>
    <w:tmpl w:val="F4F87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B4E8F"/>
    <w:multiLevelType w:val="hybridMultilevel"/>
    <w:tmpl w:val="6180F17C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B4C1974"/>
    <w:multiLevelType w:val="hybridMultilevel"/>
    <w:tmpl w:val="A704E18E"/>
    <w:lvl w:ilvl="0" w:tplc="F3F45E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897B58"/>
    <w:multiLevelType w:val="hybridMultilevel"/>
    <w:tmpl w:val="0240B190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52315A2"/>
    <w:multiLevelType w:val="hybridMultilevel"/>
    <w:tmpl w:val="2F2AC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25926"/>
    <w:multiLevelType w:val="hybridMultilevel"/>
    <w:tmpl w:val="0DACD114"/>
    <w:lvl w:ilvl="0" w:tplc="986E600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A5"/>
    <w:rsid w:val="00033BB3"/>
    <w:rsid w:val="00041E3E"/>
    <w:rsid w:val="000C4B84"/>
    <w:rsid w:val="000D1154"/>
    <w:rsid w:val="00184649"/>
    <w:rsid w:val="001F453B"/>
    <w:rsid w:val="00233B74"/>
    <w:rsid w:val="00243AAD"/>
    <w:rsid w:val="00296BE3"/>
    <w:rsid w:val="002D16D2"/>
    <w:rsid w:val="002E062E"/>
    <w:rsid w:val="0031723E"/>
    <w:rsid w:val="00327229"/>
    <w:rsid w:val="003548F4"/>
    <w:rsid w:val="00361ADA"/>
    <w:rsid w:val="00470AAE"/>
    <w:rsid w:val="004C5C5F"/>
    <w:rsid w:val="005329B7"/>
    <w:rsid w:val="0057450C"/>
    <w:rsid w:val="005B55F9"/>
    <w:rsid w:val="005C2B9A"/>
    <w:rsid w:val="005D1549"/>
    <w:rsid w:val="005F1892"/>
    <w:rsid w:val="00620EEA"/>
    <w:rsid w:val="00620F0B"/>
    <w:rsid w:val="006950E4"/>
    <w:rsid w:val="006A4501"/>
    <w:rsid w:val="006A529B"/>
    <w:rsid w:val="006A743C"/>
    <w:rsid w:val="00713307"/>
    <w:rsid w:val="00736F38"/>
    <w:rsid w:val="00752431"/>
    <w:rsid w:val="007544C8"/>
    <w:rsid w:val="00766CC9"/>
    <w:rsid w:val="007D4765"/>
    <w:rsid w:val="007D66F4"/>
    <w:rsid w:val="007F6D65"/>
    <w:rsid w:val="007F77FA"/>
    <w:rsid w:val="008106A5"/>
    <w:rsid w:val="00811659"/>
    <w:rsid w:val="00830AB0"/>
    <w:rsid w:val="008A656B"/>
    <w:rsid w:val="008E50A8"/>
    <w:rsid w:val="00901DB2"/>
    <w:rsid w:val="009074C4"/>
    <w:rsid w:val="00962D13"/>
    <w:rsid w:val="00993A05"/>
    <w:rsid w:val="00A955C1"/>
    <w:rsid w:val="00AC3623"/>
    <w:rsid w:val="00B018ED"/>
    <w:rsid w:val="00B32186"/>
    <w:rsid w:val="00B84E5C"/>
    <w:rsid w:val="00B86EAF"/>
    <w:rsid w:val="00B954C1"/>
    <w:rsid w:val="00BB2671"/>
    <w:rsid w:val="00BD5748"/>
    <w:rsid w:val="00BE69CF"/>
    <w:rsid w:val="00C21267"/>
    <w:rsid w:val="00C24946"/>
    <w:rsid w:val="00C43905"/>
    <w:rsid w:val="00C43CE3"/>
    <w:rsid w:val="00C45B55"/>
    <w:rsid w:val="00C876D3"/>
    <w:rsid w:val="00CA44CF"/>
    <w:rsid w:val="00CC63BF"/>
    <w:rsid w:val="00D0181F"/>
    <w:rsid w:val="00D07443"/>
    <w:rsid w:val="00D2425C"/>
    <w:rsid w:val="00D422CE"/>
    <w:rsid w:val="00D42CAA"/>
    <w:rsid w:val="00D534F1"/>
    <w:rsid w:val="00D92578"/>
    <w:rsid w:val="00DB0AEB"/>
    <w:rsid w:val="00DC21DC"/>
    <w:rsid w:val="00E01C14"/>
    <w:rsid w:val="00E45DDD"/>
    <w:rsid w:val="00E4782C"/>
    <w:rsid w:val="00EE6DD0"/>
    <w:rsid w:val="00F265A2"/>
    <w:rsid w:val="00F662A4"/>
    <w:rsid w:val="00F76475"/>
    <w:rsid w:val="00F962F1"/>
    <w:rsid w:val="00F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3646E-F304-4CD3-8700-EF1ED09E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E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267"/>
    <w:pPr>
      <w:ind w:left="720"/>
      <w:contextualSpacing/>
    </w:pPr>
  </w:style>
  <w:style w:type="paragraph" w:customStyle="1" w:styleId="Default">
    <w:name w:val="Default"/>
    <w:rsid w:val="00D074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F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M</dc:creator>
  <cp:lastModifiedBy>Fujitsu</cp:lastModifiedBy>
  <cp:revision>6</cp:revision>
  <cp:lastPrinted>2022-01-03T12:49:00Z</cp:lastPrinted>
  <dcterms:created xsi:type="dcterms:W3CDTF">2024-09-26T09:21:00Z</dcterms:created>
  <dcterms:modified xsi:type="dcterms:W3CDTF">2024-11-21T10:17:00Z</dcterms:modified>
</cp:coreProperties>
</file>