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24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853"/>
      </w:tblGrid>
      <w:tr w:rsidR="00FD24A4" w:rsidRPr="00C94C19" w:rsidTr="00480767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br w:type="page"/>
            </w:r>
            <w:r w:rsidRPr="00C94C19">
              <w:rPr>
                <w:rFonts w:eastAsia="Times New Roman"/>
              </w:rPr>
              <w:t xml:space="preserve">Nazwa </w:t>
            </w:r>
            <w:r w:rsidRPr="00C94C19">
              <w:rPr>
                <w:rFonts w:eastAsia="Times New Roman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pStyle w:val="Nagwek3"/>
              <w:spacing w:before="120"/>
            </w:pPr>
            <w:bookmarkStart w:id="0" w:name="_Toc183423823"/>
            <w:r w:rsidRPr="00C94C19">
              <w:t>DZIAŁ ZAKUPÓW</w:t>
            </w:r>
            <w:bookmarkEnd w:id="0"/>
          </w:p>
        </w:tc>
        <w:tc>
          <w:tcPr>
            <w:tcW w:w="8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suppressAutoHyphens/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C94C19">
              <w:rPr>
                <w:b/>
                <w:sz w:val="26"/>
                <w:szCs w:val="26"/>
              </w:rPr>
              <w:t>AZK</w:t>
            </w:r>
          </w:p>
        </w:tc>
      </w:tr>
      <w:tr w:rsidR="00FD24A4" w:rsidRPr="00C94C19" w:rsidTr="00480767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 xml:space="preserve">Jednostka </w:t>
            </w:r>
            <w:r w:rsidRPr="00C94C19">
              <w:rPr>
                <w:rFonts w:eastAsia="Times New Roman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1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FD24A4" w:rsidRPr="00C94C19" w:rsidTr="00480767">
        <w:trPr>
          <w:trHeight w:val="406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A4" w:rsidRPr="00C94C19" w:rsidRDefault="00FD24A4" w:rsidP="004D6E87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Zastępca Dyrektora Generalnego ds. Organizacyjnych</w:t>
            </w:r>
            <w:r w:rsidRPr="00C94C19" w:rsidDel="00EF6C99">
              <w:rPr>
                <w:rFonts w:eastAsia="Times New Roman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rPr>
                <w:szCs w:val="24"/>
              </w:rPr>
            </w:pPr>
            <w:r w:rsidRPr="00C94C19">
              <w:rPr>
                <w:rFonts w:eastAsia="Times New Roman"/>
              </w:rPr>
              <w:t>AA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  <w:rPr>
                <w:rFonts w:ascii="Calibri" w:hAnsi="Calibri" w:cs="Calibri"/>
              </w:rPr>
            </w:pPr>
            <w:r w:rsidRPr="00C94C19">
              <w:rPr>
                <w:rFonts w:eastAsia="Times New Roman"/>
              </w:rPr>
              <w:t>Zastępca Dyrektora Generalnego ds. Organizacyjnych</w:t>
            </w:r>
            <w:r w:rsidRPr="00C94C19" w:rsidDel="00130AC5">
              <w:rPr>
                <w:rFonts w:eastAsia="Times New Roman"/>
              </w:rPr>
              <w:t xml:space="preserve">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t>AA</w:t>
            </w:r>
          </w:p>
        </w:tc>
      </w:tr>
      <w:tr w:rsidR="00FD24A4" w:rsidRPr="00C94C19" w:rsidTr="00480767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 xml:space="preserve">Jednostki </w:t>
            </w:r>
            <w:r w:rsidRPr="00C94C19">
              <w:rPr>
                <w:rFonts w:eastAsia="Times New Roman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>Podległość formalna</w:t>
            </w:r>
          </w:p>
        </w:tc>
        <w:tc>
          <w:tcPr>
            <w:tcW w:w="4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FD24A4" w:rsidRPr="00C94C19" w:rsidRDefault="00FD24A4" w:rsidP="004D6E87">
            <w:pPr>
              <w:suppressAutoHyphens/>
            </w:pPr>
            <w:r w:rsidRPr="00C94C19">
              <w:rPr>
                <w:rFonts w:eastAsia="Times New Roman"/>
              </w:rPr>
              <w:t>Podległość merytoryczna</w:t>
            </w:r>
          </w:p>
        </w:tc>
      </w:tr>
      <w:tr w:rsidR="00FD24A4" w:rsidRPr="00C94C19" w:rsidTr="00480767">
        <w:trPr>
          <w:trHeight w:val="345"/>
        </w:trPr>
        <w:tc>
          <w:tcPr>
            <w:tcW w:w="12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4A4" w:rsidRPr="00C94C19" w:rsidRDefault="00FD24A4" w:rsidP="004D6E87"/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pStyle w:val="Akapitzlist"/>
              <w:jc w:val="left"/>
              <w:rPr>
                <w:color w:val="auto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rPr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pStyle w:val="Akapitzlist"/>
              <w:suppressAutoHyphens/>
              <w:jc w:val="left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suppressAutoHyphens/>
              <w:rPr>
                <w:rFonts w:ascii="Calibri" w:hAnsi="Calibri" w:cs="Calibri"/>
              </w:rPr>
            </w:pPr>
          </w:p>
        </w:tc>
      </w:tr>
      <w:tr w:rsidR="00FD24A4" w:rsidRPr="00C94C19" w:rsidTr="00480767">
        <w:trPr>
          <w:trHeight w:val="279"/>
        </w:trPr>
        <w:tc>
          <w:tcPr>
            <w:tcW w:w="9624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FD24A4" w:rsidRPr="00C94C19" w:rsidRDefault="00FD24A4" w:rsidP="004D6E87">
            <w:pPr>
              <w:rPr>
                <w:sz w:val="16"/>
                <w:szCs w:val="16"/>
              </w:rPr>
            </w:pPr>
          </w:p>
        </w:tc>
      </w:tr>
      <w:tr w:rsidR="00FD24A4" w:rsidRPr="00C94C19" w:rsidTr="00480767">
        <w:trPr>
          <w:trHeight w:val="337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suppressAutoHyphens/>
              <w:spacing w:line="276" w:lineRule="auto"/>
            </w:pPr>
            <w:r w:rsidRPr="00C94C19">
              <w:rPr>
                <w:rFonts w:eastAsia="Times New Roman"/>
              </w:rPr>
              <w:t xml:space="preserve">Cel działalności </w:t>
            </w:r>
          </w:p>
        </w:tc>
      </w:tr>
      <w:tr w:rsidR="00FD24A4" w:rsidRPr="00C94C19" w:rsidTr="00480767">
        <w:trPr>
          <w:trHeight w:val="1011"/>
        </w:trPr>
        <w:tc>
          <w:tcPr>
            <w:tcW w:w="9624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FD24A4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Dokonywanie zakupów towarów dla wszystkich jednostek Uczelni zgodnie z zatwierdzonym budżetem i obowiązującymi przepisami.</w:t>
            </w:r>
          </w:p>
          <w:p w:rsidR="00FD24A4" w:rsidRPr="00C94C19" w:rsidRDefault="00FD24A4" w:rsidP="00FD24A4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Organizacja przewozu osób i towarów.</w:t>
            </w:r>
          </w:p>
          <w:p w:rsidR="00FD24A4" w:rsidRPr="00C94C19" w:rsidRDefault="00FD24A4" w:rsidP="00FD24A4">
            <w:pPr>
              <w:pStyle w:val="Zwykytekst"/>
              <w:numPr>
                <w:ilvl w:val="0"/>
                <w:numId w:val="2"/>
              </w:numPr>
              <w:spacing w:line="276" w:lineRule="auto"/>
              <w:ind w:left="284" w:hanging="26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Prowadzenie gospodarki magazynowej.</w:t>
            </w:r>
          </w:p>
        </w:tc>
      </w:tr>
      <w:tr w:rsidR="00FD24A4" w:rsidRPr="00C94C19" w:rsidTr="00480767">
        <w:trPr>
          <w:trHeight w:val="301"/>
        </w:trPr>
        <w:tc>
          <w:tcPr>
            <w:tcW w:w="9624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4D6E87">
            <w:pPr>
              <w:suppressAutoHyphens/>
              <w:spacing w:line="276" w:lineRule="auto"/>
            </w:pPr>
            <w:r w:rsidRPr="00C94C19">
              <w:rPr>
                <w:rFonts w:eastAsia="Times New Roman"/>
              </w:rPr>
              <w:t>Kluczowe zadania</w:t>
            </w:r>
          </w:p>
        </w:tc>
      </w:tr>
      <w:tr w:rsidR="00FD24A4" w:rsidRPr="00C94C19" w:rsidTr="00480767">
        <w:trPr>
          <w:trHeight w:val="416"/>
        </w:trPr>
        <w:tc>
          <w:tcPr>
            <w:tcW w:w="962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D24A4" w:rsidRPr="00C94C19" w:rsidRDefault="00FD24A4" w:rsidP="00480767">
            <w:pPr>
              <w:spacing w:line="276" w:lineRule="auto"/>
              <w:ind w:left="164"/>
              <w:jc w:val="both"/>
              <w:rPr>
                <w:b/>
                <w:szCs w:val="24"/>
              </w:rPr>
            </w:pPr>
            <w:r w:rsidRPr="00C94C19">
              <w:rPr>
                <w:b/>
                <w:szCs w:val="24"/>
              </w:rPr>
              <w:t xml:space="preserve"> </w:t>
            </w:r>
          </w:p>
          <w:p w:rsidR="00FD24A4" w:rsidRPr="00C94C19" w:rsidRDefault="00FD24A4" w:rsidP="00FD24A4">
            <w:pPr>
              <w:pStyle w:val="Nagwek5"/>
              <w:keepNext w:val="0"/>
              <w:numPr>
                <w:ilvl w:val="0"/>
                <w:numId w:val="5"/>
              </w:numPr>
              <w:tabs>
                <w:tab w:val="num" w:pos="3420"/>
              </w:tabs>
              <w:spacing w:line="276" w:lineRule="auto"/>
              <w:jc w:val="left"/>
              <w:rPr>
                <w:b w:val="0"/>
                <w:szCs w:val="24"/>
              </w:rPr>
            </w:pPr>
            <w:r w:rsidRPr="00C94C19">
              <w:rPr>
                <w:b w:val="0"/>
                <w:szCs w:val="24"/>
              </w:rPr>
              <w:t xml:space="preserve">Uzgadnianie ze wszystkimi jednostkami organizacyjnymi Uczelni całokształtu spraw związanych z prowadzeniem dla nich gospodarki zaopatrzeniowej.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3420"/>
              </w:tabs>
              <w:spacing w:line="276" w:lineRule="auto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Opracowywanie i lokowanie zamówień na dostawy materiałów wymagających wcześniejszego zabezpieczenia asortymentu i terminu dostawy w aktualnie obowiązujących terminach.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Przestrzeganie terminów potwierdzania i realizacji zamówień oraz uzgadnianie </w:t>
            </w:r>
            <w:r w:rsidRPr="00C94C19">
              <w:rPr>
                <w:szCs w:val="24"/>
              </w:rPr>
              <w:br/>
              <w:t>z dostawcami terminów i warunków dostaw.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Udział w przetargach na zakupy materiałów.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Prowadzenie obowiązującej ewidencji z zakresu zamówień, potwierdzeń realizacji dostaw </w:t>
            </w:r>
            <w:r w:rsidRPr="00C94C19">
              <w:rPr>
                <w:szCs w:val="24"/>
              </w:rPr>
              <w:br/>
              <w:t xml:space="preserve">i terminowego rozliczania faktur.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Sporządzanie reklamacji odnośnie jakości, ilości i cen otrzymywanych materiałów.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pacing w:val="-2"/>
                <w:szCs w:val="24"/>
              </w:rPr>
            </w:pPr>
            <w:r w:rsidRPr="00C94C19">
              <w:rPr>
                <w:spacing w:val="-2"/>
                <w:szCs w:val="24"/>
              </w:rPr>
              <w:t xml:space="preserve">Realizacja zakupów, wewnątrzwspólnotowego nabycia towarów oraz zaopatrywanie wszystkich jednostek organizacyjnych Uczelni w niezbędne przedmioty i materiały eksploatacyjne.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 xml:space="preserve">Prowadzenie całokształtu spraw dotyczących gospodarki opakowaniami. 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ind w:left="714" w:hanging="357"/>
              <w:contextualSpacing/>
              <w:rPr>
                <w:szCs w:val="24"/>
              </w:rPr>
            </w:pPr>
            <w:r w:rsidRPr="00C94C19">
              <w:rPr>
                <w:szCs w:val="24"/>
              </w:rPr>
              <w:t>Zagospodarowywanie lub upłynnianie zapasów zbędnych lub nadmiernych.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440"/>
                <w:tab w:val="num" w:pos="3420"/>
              </w:tabs>
              <w:spacing w:line="276" w:lineRule="auto"/>
              <w:rPr>
                <w:spacing w:val="-2"/>
                <w:szCs w:val="24"/>
              </w:rPr>
            </w:pPr>
            <w:r w:rsidRPr="00C94C19">
              <w:rPr>
                <w:spacing w:val="-2"/>
                <w:szCs w:val="24"/>
              </w:rPr>
              <w:t>Prowadzenie pełnej dokumentacji zakupów (zarówno gotówkowych, jak i bezgotówkowych) zgodnie z obowiązującymi w tym zakresie przepisami.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>Prowadzenie całokształtu gospodarki magazynowej.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068"/>
                <w:tab w:val="num" w:pos="3420"/>
              </w:tabs>
              <w:spacing w:line="276" w:lineRule="auto"/>
              <w:rPr>
                <w:szCs w:val="24"/>
              </w:rPr>
            </w:pPr>
            <w:proofErr w:type="spellStart"/>
            <w:r w:rsidRPr="00C94C19">
              <w:rPr>
                <w:szCs w:val="24"/>
              </w:rPr>
              <w:t>Współgospodarowanie</w:t>
            </w:r>
            <w:proofErr w:type="spellEnd"/>
            <w:r w:rsidRPr="00C94C19">
              <w:rPr>
                <w:szCs w:val="24"/>
              </w:rPr>
              <w:t xml:space="preserve"> wspólnie z dysponentami przydzielonymi środkami finansowymi przeznaczonymi na zakupy materiałów.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068"/>
                <w:tab w:val="num" w:pos="3420"/>
              </w:tabs>
              <w:spacing w:line="276" w:lineRule="auto"/>
              <w:rPr>
                <w:szCs w:val="24"/>
              </w:rPr>
            </w:pPr>
            <w:r w:rsidRPr="00C94C19">
              <w:rPr>
                <w:szCs w:val="24"/>
              </w:rPr>
              <w:t>Prowadzenie prawidłowej gospodarki spirytusu skażonego i czystego oraz jego rozliczanie zgodnie z obowiązującymi w tym zakresie przepisami.</w:t>
            </w:r>
          </w:p>
          <w:p w:rsidR="00FD24A4" w:rsidRPr="00C94C19" w:rsidRDefault="00FD24A4" w:rsidP="00FD24A4">
            <w:pPr>
              <w:numPr>
                <w:ilvl w:val="0"/>
                <w:numId w:val="5"/>
              </w:numPr>
              <w:tabs>
                <w:tab w:val="num" w:pos="1068"/>
                <w:tab w:val="num" w:pos="3420"/>
              </w:tabs>
              <w:spacing w:line="276" w:lineRule="auto"/>
              <w:ind w:left="714" w:hanging="357"/>
              <w:contextualSpacing/>
              <w:rPr>
                <w:spacing w:val="-8"/>
                <w:szCs w:val="24"/>
              </w:rPr>
            </w:pPr>
            <w:r w:rsidRPr="00C94C19">
              <w:rPr>
                <w:spacing w:val="-8"/>
                <w:szCs w:val="24"/>
              </w:rPr>
              <w:t>Prowadzenie pełnej dokumentacji związanej z wewnątrzwspólnotowym nabyciem towarów: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6"/>
              </w:numPr>
              <w:tabs>
                <w:tab w:val="num" w:pos="3420"/>
              </w:tabs>
              <w:spacing w:before="0" w:line="276" w:lineRule="auto"/>
              <w:ind w:left="1015" w:right="11" w:hanging="284"/>
              <w:contextualSpacing w:val="0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faktury VAT wewnętrzne – wewnątrzwspólnotowe nabycie towarów,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6"/>
              </w:numPr>
              <w:tabs>
                <w:tab w:val="num" w:pos="3420"/>
              </w:tabs>
              <w:spacing w:line="276" w:lineRule="auto"/>
              <w:ind w:left="1014" w:hanging="283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deklaracje INTRASTAT.</w:t>
            </w:r>
          </w:p>
          <w:p w:rsidR="00FD24A4" w:rsidRPr="008903C2" w:rsidRDefault="00FD24A4" w:rsidP="00FD24A4">
            <w:pPr>
              <w:pStyle w:val="Akapitzlist"/>
              <w:numPr>
                <w:ilvl w:val="0"/>
                <w:numId w:val="5"/>
              </w:numPr>
              <w:tabs>
                <w:tab w:val="num" w:pos="851"/>
                <w:tab w:val="num" w:pos="3420"/>
              </w:tabs>
              <w:spacing w:before="0" w:line="276" w:lineRule="auto"/>
              <w:ind w:right="11"/>
              <w:jc w:val="left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lastRenderedPageBreak/>
              <w:t>Prowadzenie spraw związanych z zakupem mebli i wyposażenia ruchomego.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eastAsia="Times New Roman"/>
                <w:color w:val="auto"/>
                <w:szCs w:val="24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>Opracowanie planów rzeczowo-finansowych w zakresie zakupu sprzętu komputerowego i oprogramowania, doradztwo dla użytkowników w zakresie doboru parametrów technicznych sprzętu i oprogramowania, udział w postępowaniach o zamówienia publiczne.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Prowadzenie </w:t>
            </w:r>
            <w:r w:rsidRPr="00C94C19">
              <w:rPr>
                <w:color w:val="auto"/>
                <w:szCs w:val="24"/>
              </w:rPr>
              <w:t>centralnej ewidencji oprogramowania i licencji.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  <w:lang w:eastAsia="pl-PL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Zakup </w:t>
            </w:r>
            <w:r w:rsidRPr="00C94C19">
              <w:rPr>
                <w:color w:val="auto"/>
                <w:lang w:eastAsia="pl-PL"/>
              </w:rPr>
              <w:t>materiałów eksploatacyjnych i sprzętu komputerowego.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rFonts w:eastAsia="Times New Roman"/>
                <w:color w:val="auto"/>
                <w:szCs w:val="24"/>
                <w:lang w:eastAsia="pl-PL"/>
              </w:rPr>
              <w:t xml:space="preserve">Gospodarka </w:t>
            </w:r>
            <w:r w:rsidRPr="00C94C19">
              <w:rPr>
                <w:color w:val="auto"/>
                <w:lang w:eastAsia="pl-PL"/>
              </w:rPr>
              <w:t>odpadami – utylizacja pojemników po tuszach i tonerach.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Przyjmowanie, rejestrowanie i opiniowanie wniosków o zakup aparatury naukowej.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Merytoryczne przygotowanie specyfikacji przetargowej i udział w przetargach na zakup aparatury i sprzętu.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Realizacja zakupów na podstawie wniosków składanych przez jednostki organizacyjne.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Dokonywanie odpraw celnych zakupionej aparatury.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Prowadzenie właściwej dokumentacji dotyczącej zakupów aparatury, terminowe rozliczanie dokumentów.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 xml:space="preserve">Współpraca z Działem </w:t>
            </w:r>
            <w:r>
              <w:rPr>
                <w:color w:val="auto"/>
              </w:rPr>
              <w:t xml:space="preserve">Budżetowania i </w:t>
            </w:r>
            <w:r w:rsidRPr="00C94C19">
              <w:rPr>
                <w:color w:val="auto"/>
              </w:rPr>
              <w:t>Kosztów i Działem Finansow</w:t>
            </w:r>
            <w:r>
              <w:rPr>
                <w:color w:val="auto"/>
              </w:rPr>
              <w:t>o-Księgowym</w:t>
            </w:r>
            <w:r w:rsidRPr="00C94C19">
              <w:rPr>
                <w:color w:val="auto"/>
              </w:rPr>
              <w:t xml:space="preserve"> w zakresie dysponowania otrzymanymi środkami finansowymi.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Prowadzenie pełnej informacji użytkowo-technicznej sprzętu i aparatury oraz uczestnictwo w organizowanych targach i wystawach aparatury i sprzętu.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Dokonywanie odbioru zakupionej aparatury i sprzętu.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Zakup części zmiennych i sprzętu dydaktycznego.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Prowadzenie dokumentacji dotyczącej przyjęcia na stan Uniwersytetu darowizn rzeczowych.</w:t>
            </w:r>
          </w:p>
          <w:p w:rsidR="00FD24A4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>Raportowanie danych dotyczących infrastruktury do Systemu POL-on.</w:t>
            </w:r>
          </w:p>
          <w:p w:rsidR="00FD24A4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 w:rsidRPr="00C94C19">
              <w:rPr>
                <w:color w:val="auto"/>
              </w:rPr>
              <w:t xml:space="preserve"> Czynny udział w pracach Komisji ds. Zakupów Inwestycyjnych i Darowizn</w:t>
            </w:r>
          </w:p>
          <w:p w:rsidR="00FD24A4" w:rsidRPr="008903C2" w:rsidRDefault="00FD24A4" w:rsidP="00FD24A4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Archiwizacja dokumentacji</w:t>
            </w:r>
          </w:p>
          <w:p w:rsidR="00FD24A4" w:rsidRDefault="00FD24A4" w:rsidP="004D6E87">
            <w:pPr>
              <w:pStyle w:val="Zwykytekst"/>
              <w:spacing w:line="360" w:lineRule="auto"/>
              <w:ind w:left="165" w:hanging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D24A4" w:rsidRDefault="00FD24A4" w:rsidP="004D6E87">
            <w:pPr>
              <w:pStyle w:val="Zwykytekst"/>
              <w:spacing w:line="360" w:lineRule="auto"/>
              <w:ind w:left="165" w:hanging="142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C94C19">
              <w:rPr>
                <w:rFonts w:ascii="Times New Roman" w:hAnsi="Times New Roman"/>
                <w:b/>
                <w:sz w:val="24"/>
                <w:szCs w:val="24"/>
              </w:rPr>
              <w:t>Sekcja Magazynów i Transportu</w:t>
            </w:r>
          </w:p>
          <w:p w:rsidR="00FD24A4" w:rsidRPr="00C94C19" w:rsidRDefault="00FD24A4" w:rsidP="004D6E87">
            <w:pPr>
              <w:pStyle w:val="Zwykytekst"/>
              <w:spacing w:line="360" w:lineRule="auto"/>
              <w:ind w:left="165" w:hanging="142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94C19">
              <w:rPr>
                <w:rFonts w:ascii="Times New Roman" w:hAnsi="Times New Roman"/>
                <w:sz w:val="24"/>
                <w:szCs w:val="24"/>
              </w:rPr>
              <w:t>1</w:t>
            </w:r>
            <w:r w:rsidRPr="00C94C19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C94C19">
              <w:rPr>
                <w:rFonts w:ascii="Times New Roman" w:hAnsi="Times New Roman"/>
                <w:sz w:val="24"/>
                <w:szCs w:val="24"/>
                <w:u w:val="single"/>
              </w:rPr>
              <w:t>W zakresie transportu: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Prowadzenie ewidencji pojazdów samochodowych.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pacing w:val="-4"/>
                <w:szCs w:val="24"/>
              </w:rPr>
            </w:pPr>
            <w:r w:rsidRPr="00C94C19">
              <w:rPr>
                <w:spacing w:val="-4"/>
                <w:szCs w:val="24"/>
              </w:rPr>
              <w:t>Prowadzenie spraw związanych z przeglądami, rejestracją i ubezpieczeniem pojazdów samochodowych.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Rozliczanie zużycia paliwa według obowiązujących w Uczelni norm paliwowych.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Wystawianie faktur za świadczone usługi transportowe.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Zlecanie napraw i konserwacji pojazdów samochodowych.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Wydawanie kierowcom kart drogowych i ich rozliczanie.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276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Uczestniczenie w komisjach remanentowych i przetargowych.</w:t>
            </w:r>
          </w:p>
          <w:p w:rsidR="00FD24A4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360" w:lineRule="auto"/>
              <w:ind w:left="720"/>
              <w:rPr>
                <w:szCs w:val="24"/>
              </w:rPr>
            </w:pPr>
            <w:r w:rsidRPr="00C94C19">
              <w:rPr>
                <w:szCs w:val="24"/>
              </w:rPr>
              <w:t>Archiwizacja dokumentacji.</w:t>
            </w:r>
          </w:p>
          <w:p w:rsidR="00FD24A4" w:rsidRPr="00C94C19" w:rsidRDefault="00FD24A4" w:rsidP="00FD24A4">
            <w:pPr>
              <w:numPr>
                <w:ilvl w:val="0"/>
                <w:numId w:val="3"/>
              </w:numPr>
              <w:tabs>
                <w:tab w:val="num" w:pos="720"/>
                <w:tab w:val="num" w:pos="1068"/>
              </w:tabs>
              <w:spacing w:line="360" w:lineRule="auto"/>
              <w:ind w:left="720"/>
              <w:rPr>
                <w:szCs w:val="24"/>
              </w:rPr>
            </w:pPr>
            <w:r>
              <w:rPr>
                <w:szCs w:val="24"/>
              </w:rPr>
              <w:t>Sporządzanie harmonogramu i prowadzenie ewidencji czasu pracy pracowników brygady za- i wyładunkowej</w:t>
            </w:r>
          </w:p>
          <w:p w:rsidR="00FD24A4" w:rsidRPr="00C94C19" w:rsidRDefault="00FD24A4" w:rsidP="004D6E87">
            <w:pPr>
              <w:spacing w:line="276" w:lineRule="auto"/>
              <w:ind w:left="567" w:hanging="403"/>
              <w:rPr>
                <w:szCs w:val="24"/>
              </w:rPr>
            </w:pPr>
            <w:r w:rsidRPr="00C94C19">
              <w:rPr>
                <w:szCs w:val="24"/>
                <w:u w:val="single"/>
              </w:rPr>
              <w:t>2. W zakresie magazynów: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before="0" w:line="276" w:lineRule="auto"/>
              <w:ind w:left="731" w:right="1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Zapewnienie i utrzymanie płynnego łańcucha zaopatrzenia poprzez prace magazynowe: transport, przechowywanie, kontrola dokumentów, utrzymanie odpowiedniego poziomu magazynu.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lastRenderedPageBreak/>
              <w:t>Przyjmowanie interesantów oraz udzielanie informacji nt. dostarczonych materiałów do magazynu, ilości przyjmowanych materiałów, odbiorem technicznym (jakościowym), prawidłowej dokumentacji na podstawie sprawdzonych dowodów dostawy i podpisywania dowodów przyjęcia itp..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Rozmieszczenie i ułożenie przyjętych materiałów w magazynie, zabezpieczenie ich przed ubytkami, zniszczeniem i kradzieżą.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Nadzór merytoryczno-rozliczeniowy nad dokumentacją wydawanych materiałów, w tym dokumentów rozchodowych.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Kontrola zgodności rzeczywistego stanu zapasów ze stanem ewidencji.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Bieżące monitorowanie zapasów magazynowych z uwzględnieniem asortymentu oraz terminów przechowywania materiałów.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Planowanie oraz sterowanie zapasami magazynowymi.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Bieżące monitorowanie zapasów magazynowych z uwzględnieniem asortymentu oraz terminu przechowywania materiałów na podstawie inwentaryzacji.</w:t>
            </w:r>
          </w:p>
          <w:p w:rsidR="00FD24A4" w:rsidRPr="00C94C19" w:rsidRDefault="00FD24A4" w:rsidP="00FD24A4">
            <w:pPr>
              <w:pStyle w:val="Akapitzlist"/>
              <w:numPr>
                <w:ilvl w:val="0"/>
                <w:numId w:val="4"/>
              </w:numPr>
              <w:spacing w:line="276" w:lineRule="auto"/>
              <w:ind w:left="731" w:hanging="425"/>
              <w:rPr>
                <w:color w:val="auto"/>
                <w:szCs w:val="24"/>
              </w:rPr>
            </w:pPr>
            <w:r w:rsidRPr="00C94C19">
              <w:rPr>
                <w:color w:val="auto"/>
                <w:szCs w:val="24"/>
              </w:rPr>
              <w:t>Archiwizacja dokumentacji.</w:t>
            </w:r>
          </w:p>
          <w:p w:rsidR="00FD24A4" w:rsidRPr="00C94C19" w:rsidRDefault="00FD24A4" w:rsidP="004D6E87">
            <w:pPr>
              <w:spacing w:line="276" w:lineRule="auto"/>
              <w:ind w:left="568"/>
              <w:jc w:val="both"/>
              <w:rPr>
                <w:szCs w:val="24"/>
              </w:rPr>
            </w:pPr>
          </w:p>
          <w:p w:rsidR="00FD24A4" w:rsidRPr="00C94C19" w:rsidRDefault="00FD24A4" w:rsidP="004D6E87">
            <w:pPr>
              <w:pStyle w:val="Akapitzlist"/>
              <w:tabs>
                <w:tab w:val="num" w:pos="851"/>
              </w:tabs>
              <w:spacing w:line="276" w:lineRule="auto"/>
              <w:ind w:left="851"/>
              <w:rPr>
                <w:color w:val="auto"/>
              </w:rPr>
            </w:pPr>
          </w:p>
        </w:tc>
      </w:tr>
    </w:tbl>
    <w:p w:rsidR="00782E48" w:rsidRDefault="00782E48"/>
    <w:sectPr w:rsidR="00782E48" w:rsidSect="004807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767" w:rsidRDefault="00480767" w:rsidP="00480767">
      <w:r>
        <w:separator/>
      </w:r>
    </w:p>
  </w:endnote>
  <w:endnote w:type="continuationSeparator" w:id="0">
    <w:p w:rsidR="00480767" w:rsidRDefault="00480767" w:rsidP="00480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6" w:rsidRDefault="00CC09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6" w:rsidRDefault="00CC09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6" w:rsidRDefault="00CC09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767" w:rsidRDefault="00480767" w:rsidP="00480767">
      <w:r>
        <w:separator/>
      </w:r>
    </w:p>
  </w:footnote>
  <w:footnote w:type="continuationSeparator" w:id="0">
    <w:p w:rsidR="00480767" w:rsidRDefault="00480767" w:rsidP="00480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6" w:rsidRDefault="00CC09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966" w:rsidRDefault="00CC096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767" w:rsidRPr="00480767" w:rsidRDefault="00480767" w:rsidP="00480767">
    <w:pPr>
      <w:pStyle w:val="Nagwek"/>
      <w:jc w:val="right"/>
      <w:rPr>
        <w:sz w:val="20"/>
        <w:szCs w:val="20"/>
      </w:rPr>
    </w:pPr>
    <w:r w:rsidRPr="00480767">
      <w:rPr>
        <w:sz w:val="20"/>
        <w:szCs w:val="20"/>
      </w:rPr>
      <w:t xml:space="preserve">Załącznik do zarządzenia nr </w:t>
    </w:r>
    <w:r w:rsidR="00CC0966">
      <w:rPr>
        <w:sz w:val="20"/>
        <w:szCs w:val="20"/>
      </w:rPr>
      <w:t>280</w:t>
    </w:r>
    <w:r w:rsidRPr="00480767">
      <w:rPr>
        <w:sz w:val="20"/>
        <w:szCs w:val="20"/>
      </w:rPr>
      <w:t>/XVI R/2024</w:t>
    </w:r>
  </w:p>
  <w:p w:rsidR="00480767" w:rsidRPr="00480767" w:rsidRDefault="00480767" w:rsidP="00480767">
    <w:pPr>
      <w:pStyle w:val="Nagwek"/>
      <w:jc w:val="right"/>
      <w:rPr>
        <w:sz w:val="20"/>
        <w:szCs w:val="20"/>
      </w:rPr>
    </w:pPr>
    <w:r w:rsidRPr="00480767">
      <w:rPr>
        <w:sz w:val="20"/>
        <w:szCs w:val="20"/>
      </w:rPr>
      <w:t>Rektora Uniwersytetu Medycznego we Wrocławiu</w:t>
    </w:r>
  </w:p>
  <w:p w:rsidR="00480767" w:rsidRPr="00480767" w:rsidRDefault="00CC0966" w:rsidP="00480767">
    <w:pPr>
      <w:pStyle w:val="Nagwek"/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bookmarkStart w:id="1" w:name="_GoBack"/>
    <w:bookmarkEnd w:id="1"/>
    <w:r>
      <w:rPr>
        <w:sz w:val="20"/>
        <w:szCs w:val="20"/>
      </w:rPr>
      <w:t xml:space="preserve">17 </w:t>
    </w:r>
    <w:r w:rsidR="00480767" w:rsidRPr="00480767">
      <w:rPr>
        <w:sz w:val="20"/>
        <w:szCs w:val="20"/>
      </w:rPr>
      <w:t>grudnia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F6A50"/>
    <w:multiLevelType w:val="hybridMultilevel"/>
    <w:tmpl w:val="5D2CEE94"/>
    <w:lvl w:ilvl="0" w:tplc="DCAA21F4">
      <w:start w:val="1"/>
      <w:numFmt w:val="decimal"/>
      <w:lvlText w:val="%1)"/>
      <w:lvlJc w:val="left"/>
      <w:pPr>
        <w:tabs>
          <w:tab w:val="num" w:pos="3420"/>
        </w:tabs>
        <w:ind w:left="34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F54025BE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D7693C"/>
    <w:multiLevelType w:val="hybridMultilevel"/>
    <w:tmpl w:val="F94A2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4DDE"/>
    <w:multiLevelType w:val="singleLevel"/>
    <w:tmpl w:val="6BA0442E"/>
    <w:lvl w:ilvl="0">
      <w:start w:val="1"/>
      <w:numFmt w:val="upperLetter"/>
      <w:pStyle w:val="Nagwek5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sz w:val="24"/>
        <w:u w:val="none"/>
        <w:effect w:val="none"/>
      </w:rPr>
    </w:lvl>
  </w:abstractNum>
  <w:abstractNum w:abstractNumId="3" w15:restartNumberingAfterBreak="0">
    <w:nsid w:val="4D352D52"/>
    <w:multiLevelType w:val="hybridMultilevel"/>
    <w:tmpl w:val="BAF8593A"/>
    <w:lvl w:ilvl="0" w:tplc="04150011">
      <w:start w:val="1"/>
      <w:numFmt w:val="decimal"/>
      <w:lvlText w:val="%1)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4" w15:restartNumberingAfterBreak="0">
    <w:nsid w:val="6A016AD1"/>
    <w:multiLevelType w:val="hybridMultilevel"/>
    <w:tmpl w:val="3104C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8081DDE"/>
    <w:multiLevelType w:val="hybridMultilevel"/>
    <w:tmpl w:val="A204F526"/>
    <w:lvl w:ilvl="0" w:tplc="D33415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4A4"/>
    <w:rsid w:val="00183001"/>
    <w:rsid w:val="00480767"/>
    <w:rsid w:val="00782E48"/>
    <w:rsid w:val="00CC0966"/>
    <w:rsid w:val="00FD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9AEE2"/>
  <w15:docId w15:val="{8586922D-BAE9-41A6-88F4-2C0948CA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4A4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D24A4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D24A4"/>
    <w:pPr>
      <w:keepNext/>
      <w:numPr>
        <w:numId w:val="1"/>
      </w:numPr>
      <w:jc w:val="both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D24A4"/>
    <w:rPr>
      <w:rFonts w:ascii="Times New Roman" w:eastAsiaTheme="majorEastAsia" w:hAnsi="Times New Roman" w:cstheme="majorBidi"/>
      <w:b/>
      <w:bCs/>
      <w:sz w:val="26"/>
    </w:rPr>
  </w:style>
  <w:style w:type="character" w:customStyle="1" w:styleId="Nagwek5Znak">
    <w:name w:val="Nagłówek 5 Znak"/>
    <w:basedOn w:val="Domylnaczcionkaakapitu"/>
    <w:link w:val="Nagwek5"/>
    <w:semiHidden/>
    <w:rsid w:val="00FD24A4"/>
    <w:rPr>
      <w:rFonts w:ascii="Times New Roman" w:hAnsi="Times New Roman" w:cs="Times New Roman"/>
      <w:b/>
      <w:sz w:val="24"/>
      <w:szCs w:val="20"/>
    </w:rPr>
  </w:style>
  <w:style w:type="paragraph" w:styleId="Zwykytekst">
    <w:name w:val="Plain Text"/>
    <w:basedOn w:val="Normalny"/>
    <w:link w:val="ZwykytekstZnak"/>
    <w:unhideWhenUsed/>
    <w:rsid w:val="00FD24A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D24A4"/>
    <w:rPr>
      <w:rFonts w:ascii="Courier New" w:hAnsi="Courier New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24A4"/>
    <w:pPr>
      <w:shd w:val="clear" w:color="auto" w:fill="FFFFFF"/>
      <w:spacing w:before="149" w:line="350" w:lineRule="exact"/>
      <w:ind w:left="720" w:right="10"/>
      <w:contextualSpacing/>
      <w:jc w:val="both"/>
    </w:pPr>
    <w:rPr>
      <w:color w:val="000000"/>
      <w:spacing w:val="-6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807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767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807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767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JOlszewski</dc:creator>
  <cp:lastModifiedBy>AOrzechowska</cp:lastModifiedBy>
  <cp:revision>4</cp:revision>
  <dcterms:created xsi:type="dcterms:W3CDTF">2024-12-11T10:23:00Z</dcterms:created>
  <dcterms:modified xsi:type="dcterms:W3CDTF">2024-12-17T12:47:00Z</dcterms:modified>
</cp:coreProperties>
</file>