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884F" w14:textId="3DA669CF" w:rsidR="00C847A0" w:rsidRPr="00AC087F" w:rsidRDefault="00C847A0" w:rsidP="00C847A0">
      <w:pPr>
        <w:ind w:firstLine="5670"/>
        <w:jc w:val="both"/>
        <w:rPr>
          <w:rFonts w:asciiTheme="minorHAnsi" w:hAnsiTheme="minorHAnsi" w:cstheme="minorHAnsi"/>
          <w:sz w:val="20"/>
          <w:szCs w:val="20"/>
        </w:rPr>
      </w:pPr>
      <w:bookmarkStart w:id="0" w:name="_GoBack"/>
      <w:bookmarkEnd w:id="0"/>
      <w:r w:rsidRPr="00AC087F">
        <w:rPr>
          <w:rFonts w:asciiTheme="minorHAnsi" w:hAnsiTheme="minorHAnsi" w:cstheme="minorHAnsi"/>
          <w:sz w:val="20"/>
          <w:szCs w:val="20"/>
        </w:rPr>
        <w:t>Załącznik</w:t>
      </w:r>
      <w:r w:rsidR="007D2A6D" w:rsidRPr="00AC087F">
        <w:rPr>
          <w:rFonts w:asciiTheme="minorHAnsi" w:hAnsiTheme="minorHAnsi" w:cstheme="minorHAnsi"/>
          <w:sz w:val="20"/>
          <w:szCs w:val="20"/>
        </w:rPr>
        <w:t xml:space="preserve"> nr </w:t>
      </w:r>
      <w:r w:rsidR="004F5E6D">
        <w:rPr>
          <w:rFonts w:asciiTheme="minorHAnsi" w:hAnsiTheme="minorHAnsi" w:cstheme="minorHAnsi"/>
          <w:sz w:val="20"/>
          <w:szCs w:val="20"/>
        </w:rPr>
        <w:t>6</w:t>
      </w:r>
    </w:p>
    <w:p w14:paraId="54E9FED6" w14:textId="04B6B1DF"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do Uchwały nr</w:t>
      </w:r>
      <w:r w:rsidR="007548B5">
        <w:rPr>
          <w:rFonts w:asciiTheme="minorHAnsi" w:hAnsiTheme="minorHAnsi" w:cstheme="minorHAnsi"/>
          <w:sz w:val="20"/>
          <w:szCs w:val="20"/>
        </w:rPr>
        <w:t xml:space="preserve"> 2728</w:t>
      </w:r>
    </w:p>
    <w:p w14:paraId="2FE2442A" w14:textId="77777777"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Senatu Uniwersytetu Medycznego we Wrocławiu </w:t>
      </w:r>
    </w:p>
    <w:p w14:paraId="165DD2BB" w14:textId="188E0A18"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z dnia 26 </w:t>
      </w:r>
      <w:r w:rsidR="0030492F">
        <w:rPr>
          <w:rFonts w:asciiTheme="minorHAnsi" w:hAnsiTheme="minorHAnsi" w:cstheme="minorHAnsi"/>
          <w:sz w:val="20"/>
          <w:szCs w:val="20"/>
        </w:rPr>
        <w:t>marca</w:t>
      </w:r>
      <w:r w:rsidRPr="00AC087F">
        <w:rPr>
          <w:rFonts w:asciiTheme="minorHAnsi" w:hAnsiTheme="minorHAnsi" w:cstheme="minorHAnsi"/>
          <w:sz w:val="20"/>
          <w:szCs w:val="20"/>
        </w:rPr>
        <w:t xml:space="preserve"> 2025 r.</w:t>
      </w:r>
    </w:p>
    <w:p w14:paraId="2F0C196A" w14:textId="77777777" w:rsidR="00B24CA1" w:rsidRPr="00984ECC" w:rsidRDefault="00B24CA1"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6B5F6071" w14:textId="77777777" w:rsidR="00A46003" w:rsidRPr="00984ECC" w:rsidRDefault="00A46003" w:rsidP="000B6C78">
      <w:pPr>
        <w:rPr>
          <w:rFonts w:asciiTheme="minorHAnsi" w:hAnsiTheme="minorHAnsi" w:cstheme="minorHAnsi"/>
          <w:b/>
          <w:sz w:val="24"/>
          <w:szCs w:val="24"/>
        </w:rPr>
      </w:pPr>
    </w:p>
    <w:p w14:paraId="3C1EFA5C" w14:textId="77777777" w:rsidR="00A46003" w:rsidRPr="00984ECC" w:rsidRDefault="00A46003" w:rsidP="000B6C78">
      <w:pPr>
        <w:rPr>
          <w:rFonts w:asciiTheme="minorHAnsi" w:hAnsiTheme="minorHAnsi" w:cstheme="minorHAnsi"/>
          <w:b/>
          <w:sz w:val="24"/>
          <w:szCs w:val="24"/>
        </w:rPr>
      </w:pPr>
    </w:p>
    <w:p w14:paraId="289FE53B" w14:textId="77777777"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13BCDC41" w14:textId="3E05060B" w:rsidR="00A46003" w:rsidRPr="00984ECC" w:rsidRDefault="00A46003" w:rsidP="000B6C78">
      <w:pPr>
        <w:rPr>
          <w:rFonts w:asciiTheme="minorHAnsi" w:hAnsiTheme="minorHAnsi" w:cstheme="minorHAnsi"/>
          <w:b/>
          <w:sz w:val="24"/>
          <w:szCs w:val="24"/>
        </w:rPr>
      </w:pPr>
    </w:p>
    <w:p w14:paraId="6FB66593" w14:textId="77777777" w:rsidR="00A46003" w:rsidRPr="00984ECC" w:rsidRDefault="00A46003" w:rsidP="000B6C78">
      <w:pPr>
        <w:rPr>
          <w:rFonts w:asciiTheme="minorHAnsi" w:hAnsiTheme="minorHAnsi" w:cstheme="minorHAnsi"/>
          <w:b/>
          <w:sz w:val="24"/>
          <w:szCs w:val="24"/>
        </w:rPr>
      </w:pP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lastRenderedPageBreak/>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PoSWiN</w:t>
            </w:r>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B. W przypadku programu studiów dla profilu ogólnoakademickiego</w:t>
            </w:r>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lastRenderedPageBreak/>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interprofesjonalna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zal</w:t>
            </w:r>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zal</w:t>
            </w:r>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4E0475A" w14:textId="77777777" w:rsidR="00DE6765" w:rsidRPr="00984ECC" w:rsidRDefault="00DE6765" w:rsidP="00E26C24">
      <w:pPr>
        <w:jc w:val="center"/>
        <w:rPr>
          <w:rFonts w:asciiTheme="minorHAnsi" w:hAnsiTheme="minorHAnsi" w:cstheme="minorHAnsi"/>
          <w:b/>
          <w:bCs/>
          <w:sz w:val="24"/>
          <w:szCs w:val="24"/>
        </w:rPr>
      </w:pPr>
    </w:p>
    <w:p w14:paraId="2C4B572C" w14:textId="64381DCD" w:rsidR="00DE6765" w:rsidRPr="00984ECC" w:rsidRDefault="00DE6765" w:rsidP="00DE6765">
      <w:pPr>
        <w:rPr>
          <w:rFonts w:asciiTheme="minorHAnsi" w:hAnsiTheme="minorHAnsi" w:cstheme="minorHAnsi"/>
          <w:b/>
          <w:bCs/>
          <w:sz w:val="24"/>
          <w:szCs w:val="24"/>
        </w:rPr>
      </w:pPr>
    </w:p>
    <w:p w14:paraId="57DC34B6" w14:textId="77777777" w:rsidR="00D666AE" w:rsidRPr="00984ECC" w:rsidRDefault="00D666AE" w:rsidP="00DE6765">
      <w:pP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social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uroginekologiczna</w:t>
            </w:r>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w ujęciu inter</w:t>
            </w:r>
            <w:r w:rsidR="00686A84">
              <w:rPr>
                <w:rFonts w:asciiTheme="minorHAnsi" w:hAnsiTheme="minorHAnsi" w:cstheme="minorHAnsi"/>
                <w:sz w:val="20"/>
                <w:szCs w:val="20"/>
              </w:rPr>
              <w:t>profesjonalnym</w:t>
            </w:r>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E3B0603" w:rsidR="003F5F84"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social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uroginekologiczna</w:t>
            </w:r>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w ujęciu inter</w:t>
            </w:r>
            <w:r w:rsidR="009762B8">
              <w:rPr>
                <w:rFonts w:asciiTheme="minorHAnsi" w:hAnsiTheme="minorHAnsi" w:cstheme="minorHAnsi"/>
                <w:sz w:val="20"/>
                <w:szCs w:val="20"/>
              </w:rPr>
              <w:t>profesjonalnym</w:t>
            </w:r>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6E1E1800" w:rsidR="00FE1165"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77777777" w:rsidR="007C6987" w:rsidRPr="00984ECC" w:rsidRDefault="007C6987"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979BD84" w14:textId="77777777" w:rsidR="007C6987" w:rsidRPr="00984ECC" w:rsidRDefault="007C6987" w:rsidP="00E26C24">
      <w:pPr>
        <w:jc w:val="center"/>
        <w:rPr>
          <w:rFonts w:asciiTheme="minorHAnsi" w:hAnsiTheme="minorHAnsi" w:cstheme="minorHAnsi"/>
          <w:b/>
          <w:bCs/>
          <w:sz w:val="24"/>
          <w:szCs w:val="24"/>
        </w:rPr>
      </w:pPr>
    </w:p>
    <w:p w14:paraId="4E5869F7" w14:textId="77777777" w:rsidR="007C6987" w:rsidRPr="00984ECC" w:rsidRDefault="007C6987" w:rsidP="00E26C24">
      <w:pPr>
        <w:jc w:val="center"/>
        <w:rPr>
          <w:rFonts w:asciiTheme="minorHAnsi" w:hAnsiTheme="minorHAnsi" w:cstheme="minorHAnsi"/>
          <w:b/>
          <w:bCs/>
          <w:sz w:val="24"/>
          <w:szCs w:val="24"/>
        </w:rPr>
      </w:pPr>
    </w:p>
    <w:p w14:paraId="04E336DC" w14:textId="77777777" w:rsidR="007C6987" w:rsidRPr="00984ECC" w:rsidRDefault="007C6987" w:rsidP="00E26C24">
      <w:pPr>
        <w:jc w:val="center"/>
        <w:rPr>
          <w:rFonts w:asciiTheme="minorHAnsi" w:hAnsiTheme="minorHAnsi" w:cstheme="minorHAnsi"/>
          <w:b/>
          <w:bCs/>
          <w:sz w:val="24"/>
          <w:szCs w:val="24"/>
        </w:rPr>
      </w:pPr>
    </w:p>
    <w:p w14:paraId="20644AB9"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9E780D">
        <w:trPr>
          <w:trHeight w:val="289"/>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77777777" w:rsidR="00E26C24" w:rsidRPr="00821376" w:rsidRDefault="00B751E5"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AW.21, A.W22, A.W23</w:t>
            </w:r>
          </w:p>
          <w:p w14:paraId="59BC468C" w14:textId="09D7E7B3" w:rsidR="004A69EB" w:rsidRPr="00821376" w:rsidRDefault="004A69EB"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AU.12, AU.13, AU.14</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9E780D">
        <w:trPr>
          <w:trHeight w:val="289"/>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6A1E5702"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AU.20</w:t>
            </w:r>
            <w:r w:rsidR="002D451B">
              <w:rPr>
                <w:rFonts w:asciiTheme="minorHAnsi" w:eastAsia="Times New Roman" w:hAnsiTheme="minorHAnsi" w:cstheme="minorHAnsi"/>
                <w:sz w:val="20"/>
                <w:szCs w:val="20"/>
                <w:lang w:eastAsia="pl-PL"/>
              </w:rPr>
              <w:t>, K.03</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134F53">
        <w:trPr>
          <w:trHeight w:val="289"/>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4D312570"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AW.01, AW.O2, AW.03</w:t>
            </w:r>
            <w:r w:rsidR="009E780D" w:rsidRPr="00821376">
              <w:rPr>
                <w:rFonts w:asciiTheme="minorHAnsi" w:eastAsia="Times New Roman" w:hAnsiTheme="minorHAnsi" w:cstheme="minorHAnsi"/>
                <w:sz w:val="20"/>
                <w:szCs w:val="20"/>
                <w:lang w:val="en-US" w:eastAsia="pl-PL"/>
              </w:rPr>
              <w:t>, AW.04, AW.05</w:t>
            </w:r>
          </w:p>
          <w:p w14:paraId="36E1D7FD" w14:textId="77777777" w:rsidR="001B175C" w:rsidRPr="00821376" w:rsidRDefault="001B175C"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AU.01, AU.O2, AU.03</w:t>
            </w:r>
          </w:p>
          <w:p w14:paraId="6B8136D4" w14:textId="7E0EFA34" w:rsidR="005C6F95" w:rsidRPr="00821376" w:rsidRDefault="005C6F95" w:rsidP="009E780D">
            <w:pPr>
              <w:rPr>
                <w:rFonts w:asciiTheme="minorHAnsi" w:eastAsia="Times New Roman" w:hAnsiTheme="minorHAnsi" w:cstheme="minorHAnsi"/>
                <w:sz w:val="20"/>
                <w:szCs w:val="20"/>
                <w:lang w:val="de-DE"/>
              </w:rPr>
            </w:pPr>
            <w:r w:rsidRPr="00821376">
              <w:rPr>
                <w:rFonts w:asciiTheme="minorHAnsi" w:eastAsia="Times New Roman" w:hAnsiTheme="minorHAnsi" w:cstheme="minorHAnsi"/>
                <w:sz w:val="20"/>
                <w:szCs w:val="20"/>
                <w:lang w:val="de-DE"/>
              </w:rPr>
              <w:t>K.03, K.04, K.05, K.06</w:t>
            </w:r>
          </w:p>
        </w:tc>
        <w:tc>
          <w:tcPr>
            <w:tcW w:w="7229" w:type="dxa"/>
          </w:tcPr>
          <w:p w14:paraId="57214086" w14:textId="7E02EF75"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p>
        </w:tc>
      </w:tr>
      <w:tr w:rsidR="00E26C24" w:rsidRPr="00821376" w14:paraId="6B4CE147" w14:textId="77777777" w:rsidTr="00640F59">
        <w:trPr>
          <w:trHeight w:val="289"/>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5C3D91DC" w14:textId="61B2FB62" w:rsidR="00E26C24"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B-W67FU, B-W68FU, B-W69FU, B-W70FU</w:t>
            </w:r>
          </w:p>
          <w:p w14:paraId="4E3154E1" w14:textId="77777777" w:rsidR="00172297"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B-U62FU, B-U63-FU, B-U65-FU, B-U65FU</w:t>
            </w:r>
          </w:p>
          <w:p w14:paraId="1C144375" w14:textId="1038A3A4"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K.02, </w:t>
            </w:r>
            <w:r w:rsidR="00F71246" w:rsidRPr="00821376">
              <w:rPr>
                <w:rFonts w:asciiTheme="minorHAnsi" w:eastAsia="Times New Roman" w:hAnsiTheme="minorHAnsi" w:cstheme="minorHAnsi"/>
                <w:sz w:val="20"/>
                <w:szCs w:val="20"/>
              </w:rPr>
              <w:t>K.07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 xml:space="preserve">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w:t>
            </w:r>
            <w:r w:rsidRPr="00821376">
              <w:rPr>
                <w:rFonts w:asciiTheme="minorHAnsi" w:eastAsia="Times New Roman" w:hAnsiTheme="minorHAnsi" w:cstheme="minorHAnsi"/>
                <w:sz w:val="20"/>
                <w:szCs w:val="20"/>
                <w:lang w:eastAsia="pl-PL"/>
              </w:rPr>
              <w:lastRenderedPageBreak/>
              <w:t>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7A3E20">
        <w:trPr>
          <w:trHeight w:val="289"/>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4298D39C"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8 B.W9</w:t>
            </w:r>
          </w:p>
          <w:p w14:paraId="25D223A6" w14:textId="77777777"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B.U06, B.U07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B.U08</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B.U09</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p>
          <w:p w14:paraId="73F1D5CC" w14:textId="7B2B7D36"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K.04, K.06</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Rodzaje bólu (ostry, przewlekły), mechanizm i drogi przewodzenia oraz czynniki wpływające na jego odczuwanie. Zasady i metody farmakologicznego i niefarmakologicznego postępowania przeciwbólowego zgodnie z rekomendacjami. Żródła bólu i metody jego łagodzenia u noworodka i niemowlęcia. Działanie i skuteczność leków przeciwbólowych z różnych grup.</w:t>
            </w:r>
          </w:p>
        </w:tc>
      </w:tr>
      <w:tr w:rsidR="00E26C24" w:rsidRPr="00821376" w14:paraId="7E66D382" w14:textId="77777777" w:rsidTr="002C602B">
        <w:trPr>
          <w:trHeight w:val="289"/>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03A7F6A1" w14:textId="77777777" w:rsidR="00E26C24" w:rsidRPr="00821376"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 B.W11, B.W12, B.W13, B.W14, B.W15, B.W16, B.W17,  B.W18, B.W19,  B.W20 B.W21</w:t>
            </w:r>
          </w:p>
          <w:p w14:paraId="2A16E5A8" w14:textId="77777777" w:rsidR="004052E6" w:rsidRPr="00821376" w:rsidRDefault="00FC26BD" w:rsidP="002C602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5A8DB0AC" w14:textId="0407958C"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BC1DD4">
        <w:trPr>
          <w:trHeight w:val="289"/>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3C8454D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B.W22, B.W23, B.W24, </w:t>
            </w:r>
            <w:r w:rsidR="00F532B7" w:rsidRPr="00821376">
              <w:rPr>
                <w:rFonts w:asciiTheme="minorHAnsi" w:eastAsia="Times New Roman" w:hAnsiTheme="minorHAnsi" w:cstheme="minorHAnsi"/>
                <w:sz w:val="20"/>
                <w:szCs w:val="20"/>
              </w:rPr>
              <w:t>B.W25, B.W26, B.W27, B.W28, B.W29, B.W30, B.W31</w:t>
            </w:r>
          </w:p>
          <w:p w14:paraId="160C68EE" w14:textId="77777777"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 B.U26, B.U27, B.U28, B.U29, B.U30, B.U31, B.U32 B.U33</w:t>
            </w:r>
          </w:p>
          <w:p w14:paraId="2A3925C7" w14:textId="65254EAE"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teleterapii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BC1DD4">
        <w:trPr>
          <w:trHeight w:val="289"/>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39A19528"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B.W59, B.W60, </w:t>
            </w:r>
          </w:p>
          <w:p w14:paraId="79D1612B" w14:textId="77777777"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 B.U58</w:t>
            </w:r>
          </w:p>
          <w:p w14:paraId="42679207" w14:textId="52FA1FEB"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senium.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590D58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lastRenderedPageBreak/>
              <w:t>B.W</w:t>
            </w:r>
            <w:r w:rsidR="001A388A" w:rsidRPr="00821376">
              <w:rPr>
                <w:rFonts w:asciiTheme="minorHAnsi" w:eastAsia="Times New Roman" w:hAnsiTheme="minorHAnsi" w:cstheme="minorHAnsi"/>
                <w:sz w:val="20"/>
                <w:szCs w:val="20"/>
              </w:rPr>
              <w:t>32</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 B.W35, B.W36</w:t>
            </w:r>
          </w:p>
          <w:p w14:paraId="48AA9914" w14:textId="77777777"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 xml:space="preserve">35, </w:t>
            </w:r>
            <w:r w:rsidR="001A388A" w:rsidRPr="00821376">
              <w:rPr>
                <w:rFonts w:asciiTheme="minorHAnsi" w:eastAsia="Times New Roman" w:hAnsiTheme="minorHAnsi" w:cstheme="minorHAnsi"/>
                <w:sz w:val="20"/>
                <w:szCs w:val="20"/>
              </w:rPr>
              <w:t>B.U36</w:t>
            </w:r>
          </w:p>
          <w:p w14:paraId="351E8209" w14:textId="1C1F4D8B"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prekoncepcyjnym i okołoporodowym. Zasady przygotowania kobiety z cukrzycą do zajścia w ciążę. Metody edukacji w zakresie samokontroli. Standardy postępowania w opiece okołoporodowej nad kobietą </w:t>
            </w:r>
            <w:r w:rsidRPr="00821376">
              <w:rPr>
                <w:rFonts w:asciiTheme="minorHAnsi" w:eastAsia="Times New Roman" w:hAnsiTheme="minorHAnsi" w:cstheme="minorHAnsi"/>
                <w:sz w:val="20"/>
                <w:szCs w:val="20"/>
              </w:rPr>
              <w:lastRenderedPageBreak/>
              <w:t xml:space="preserve">z chorobami metaboliczną i endokrynologiczną. Planowania ciąży dla kobiet z cukrzycą przedciążową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prekoncepcyjnej,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7777777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B.W53, B.W54, B.W55</w:t>
            </w:r>
          </w:p>
          <w:p w14:paraId="3C056CCB" w14:textId="77777777"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 B.U53</w:t>
            </w:r>
          </w:p>
          <w:p w14:paraId="65AFAD0D" w14:textId="51071518"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Poradnictwo w zakresie opieki prekoncepcyjnej, okołoporodowej i w okresie połogu nad kobietą z cukrzycą i jej dzieckiem. Zasady koordynacji działań związanych z 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interprofesjonalna w okresie okołoporodowym</w:t>
            </w:r>
          </w:p>
        </w:tc>
        <w:tc>
          <w:tcPr>
            <w:tcW w:w="4231" w:type="dxa"/>
            <w:vAlign w:val="center"/>
          </w:tcPr>
          <w:p w14:paraId="462DCB47" w14:textId="0B6F4518"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 B.W43, B.W44,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 B.W46, B.W47 B.W48</w:t>
            </w:r>
          </w:p>
          <w:p w14:paraId="1442A0D1" w14:textId="77777777"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 xml:space="preserve">5,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 xml:space="preserve">46, </w:t>
            </w:r>
            <w:r w:rsidR="009F00B4" w:rsidRPr="00821376">
              <w:rPr>
                <w:rFonts w:asciiTheme="minorHAnsi" w:eastAsia="Times New Roman" w:hAnsiTheme="minorHAnsi" w:cstheme="minorHAnsi"/>
                <w:sz w:val="20"/>
                <w:szCs w:val="20"/>
                <w:lang w:eastAsia="pl-PL"/>
              </w:rPr>
              <w:t xml:space="preserve">B.U47, </w:t>
            </w:r>
            <w:r w:rsidR="009F00B4" w:rsidRPr="00821376">
              <w:rPr>
                <w:rFonts w:asciiTheme="minorHAnsi" w:eastAsia="Times New Roman" w:hAnsiTheme="minorHAnsi" w:cstheme="minorHAnsi"/>
                <w:sz w:val="20"/>
                <w:szCs w:val="20"/>
              </w:rPr>
              <w:t>B.U48</w:t>
            </w:r>
          </w:p>
          <w:p w14:paraId="7BBC5822" w14:textId="769D1F39"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7777777"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 B.W38, B.W39, B.W40, B.W41</w:t>
            </w:r>
          </w:p>
          <w:p w14:paraId="327F4E00" w14:textId="77777777"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B.U37, B.U38, </w:t>
            </w:r>
            <w:r w:rsidRPr="00821376">
              <w:rPr>
                <w:rFonts w:asciiTheme="minorHAnsi" w:eastAsia="Times New Roman" w:hAnsiTheme="minorHAnsi" w:cstheme="minorHAnsi"/>
                <w:sz w:val="20"/>
                <w:szCs w:val="20"/>
              </w:rPr>
              <w:t xml:space="preserve">B.U39,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 B.U43</w:t>
            </w:r>
          </w:p>
          <w:p w14:paraId="71B90B74" w14:textId="0D6B4B28"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K.02,K.04,K.06</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Rany przewlekłe, odleżyny i owrzodzenia w przebiegu choroby nowotworowej. Metody wspomagających proces gojenia i pielęgnacji ran powikłanych i odleżyn oraz owrzodzeń nowotworowych. Rodzaje lawaseptyków, antyseptyków i opatrunków stosowanych w leczeniu i pielęgnacji ran oraz zasady ich doboru i refundacji. Zasady przygotowania pacjenta z przetoką jelitową i moczową do samoopieki. Zasady doboru sprzętu stomijnego zasady edukacji pacjentki z raną przewlekłą, odleżynową,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B_W71_UMW B,_W71_UMW</w:t>
            </w:r>
          </w:p>
          <w:p w14:paraId="1B642514"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B_U66_UMW</w:t>
            </w:r>
          </w:p>
          <w:p w14:paraId="6BEF1F05"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bio-psycho-społeczne.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02F55C5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 C.W2, C.W3, C.W4, C.W5, C.W6</w:t>
            </w:r>
          </w:p>
          <w:p w14:paraId="19E501C7" w14:textId="60867CA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22694260" w14:textId="5E75DC9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 C.W10</w:t>
            </w:r>
          </w:p>
          <w:p w14:paraId="2AEDB7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p>
          <w:p w14:paraId="34A9EF2F" w14:textId="667B823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Źródła naukowej informacji medycznej. Sposoby wyszukiwania informacji naukowej w bazach danych. Specjalistyczna literatura naukowa krajowa i zagraniczna, naukowe </w:t>
            </w:r>
            <w:r w:rsidRPr="00821376">
              <w:rPr>
                <w:rFonts w:asciiTheme="minorHAnsi" w:eastAsia="Times New Roman" w:hAnsiTheme="minorHAnsi" w:cstheme="minorHAnsi"/>
                <w:sz w:val="20"/>
                <w:szCs w:val="20"/>
              </w:rPr>
              <w:lastRenderedPageBreak/>
              <w:t>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0CFFFA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C.W41, C.W15, C.W16, C.W17, C.W18, C.W19, C.W20, C.W21</w:t>
            </w:r>
          </w:p>
          <w:p w14:paraId="62DAA6DB" w14:textId="60EEE24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476C9A82" w14:textId="1D64E1A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34258E8C" w14:textId="3EDAD2A3"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5BAF2A8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C.W11, C.W12, C.W13, </w:t>
            </w:r>
          </w:p>
          <w:p w14:paraId="5362AAC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 C.U10, C.U11, C.U12, C.U13</w:t>
            </w:r>
          </w:p>
          <w:p w14:paraId="27A08A2A" w14:textId="18F393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(evidence based medicine, evidence basednursing practice).Koncepcja naukowego badania empirycznego. Zasady EBM w codziennej praktyce położniczej.</w:t>
            </w:r>
          </w:p>
        </w:tc>
      </w:tr>
      <w:tr w:rsidR="00792F4B" w:rsidRPr="00821376" w14:paraId="141F1BB7" w14:textId="77777777" w:rsidTr="005113B9">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270B589A" w14:textId="6AD0EEEF"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4578F20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34DE2827" w14:textId="78D0CE2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100096CE" w14:textId="7C832C2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7D826F9B" w14:textId="77777777" w:rsidR="00792F4B" w:rsidRPr="00821376" w:rsidRDefault="00792F4B" w:rsidP="00792F4B">
            <w:pPr>
              <w:rPr>
                <w:rFonts w:asciiTheme="minorHAnsi" w:eastAsia="Times New Roman" w:hAnsiTheme="minorHAnsi" w:cstheme="minorHAnsi"/>
                <w:sz w:val="20"/>
                <w:szCs w:val="20"/>
              </w:rPr>
            </w:pPr>
          </w:p>
          <w:p w14:paraId="7952DB97" w14:textId="1DD94FFC"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458549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4F10DEE2" w14:textId="31656D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B.U44, B.U45, </w:t>
            </w:r>
            <w:r w:rsidRPr="00821376">
              <w:rPr>
                <w:rFonts w:asciiTheme="minorHAnsi" w:eastAsia="Times New Roman" w:hAnsiTheme="minorHAnsi" w:cstheme="minorHAnsi"/>
                <w:sz w:val="20"/>
                <w:szCs w:val="20"/>
              </w:rPr>
              <w:t xml:space="preserve">B.U46, </w:t>
            </w:r>
            <w:r w:rsidRPr="00821376">
              <w:rPr>
                <w:rFonts w:asciiTheme="minorHAnsi" w:eastAsia="Times New Roman" w:hAnsiTheme="minorHAnsi" w:cstheme="minorHAnsi"/>
                <w:sz w:val="20"/>
                <w:szCs w:val="20"/>
                <w:lang w:eastAsia="pl-PL"/>
              </w:rPr>
              <w:t xml:space="preserve">B.U47, </w:t>
            </w:r>
            <w:r w:rsidRPr="00821376">
              <w:rPr>
                <w:rFonts w:asciiTheme="minorHAnsi" w:eastAsia="Times New Roman" w:hAnsiTheme="minorHAnsi" w:cstheme="minorHAnsi"/>
                <w:sz w:val="20"/>
                <w:szCs w:val="20"/>
              </w:rPr>
              <w:t>B.U48</w:t>
            </w:r>
          </w:p>
          <w:p w14:paraId="274B2651" w14:textId="7A12384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Organizacja i współpraca z członkami zespołu interprofesjonalnego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bio-psycho-społecnymi.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77777777"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03D8D105" w14:textId="778A90A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A439DFC" w14:textId="253C3633"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422558D3" w14:textId="77777777" w:rsidR="00B3159A" w:rsidRPr="00984ECC" w:rsidRDefault="00B3159A" w:rsidP="00CB39A6">
      <w:pPr>
        <w:contextualSpacing/>
        <w:rPr>
          <w:rFonts w:asciiTheme="minorHAnsi" w:hAnsiTheme="minorHAnsi" w:cstheme="minorHAnsi"/>
          <w:b/>
          <w:sz w:val="24"/>
          <w:szCs w:val="24"/>
        </w:rPr>
      </w:pPr>
    </w:p>
    <w:p w14:paraId="33B79890" w14:textId="77777777" w:rsidR="00747567" w:rsidRPr="00984ECC" w:rsidRDefault="00747567" w:rsidP="00CB39A6">
      <w:pPr>
        <w:contextualSpacing/>
        <w:rPr>
          <w:rFonts w:asciiTheme="minorHAnsi" w:hAnsiTheme="minorHAnsi" w:cstheme="minorHAnsi"/>
          <w:b/>
          <w:sz w:val="24"/>
          <w:szCs w:val="24"/>
        </w:rPr>
      </w:pPr>
    </w:p>
    <w:p w14:paraId="3B32C961" w14:textId="77777777" w:rsidR="00F52A29" w:rsidRDefault="00F52A29" w:rsidP="00747567">
      <w:pPr>
        <w:jc w:val="center"/>
        <w:rPr>
          <w:rFonts w:asciiTheme="minorHAnsi" w:hAnsiTheme="minorHAnsi" w:cstheme="minorHAnsi"/>
          <w:b/>
          <w:bCs/>
          <w:sz w:val="24"/>
          <w:szCs w:val="24"/>
        </w:rPr>
      </w:pPr>
    </w:p>
    <w:p w14:paraId="728F94BD" w14:textId="77777777" w:rsidR="00F52A29" w:rsidRDefault="00F52A29" w:rsidP="00747567">
      <w:pPr>
        <w:jc w:val="center"/>
        <w:rPr>
          <w:rFonts w:asciiTheme="minorHAnsi" w:hAnsiTheme="minorHAnsi" w:cstheme="minorHAnsi"/>
          <w:b/>
          <w:bCs/>
          <w:sz w:val="24"/>
          <w:szCs w:val="24"/>
        </w:rPr>
      </w:pPr>
    </w:p>
    <w:p w14:paraId="7AD7888B" w14:textId="77777777" w:rsidR="00F52A29" w:rsidRDefault="00F52A29" w:rsidP="00747567">
      <w:pPr>
        <w:jc w:val="center"/>
        <w:rPr>
          <w:rFonts w:asciiTheme="minorHAnsi" w:hAnsiTheme="minorHAnsi" w:cstheme="minorHAnsi"/>
          <w:b/>
          <w:bCs/>
          <w:sz w:val="24"/>
          <w:szCs w:val="24"/>
        </w:rPr>
      </w:pPr>
    </w:p>
    <w:p w14:paraId="698357A0" w14:textId="77777777" w:rsidR="00B45E32" w:rsidRDefault="00B45E32" w:rsidP="00747567">
      <w:pPr>
        <w:jc w:val="center"/>
        <w:rPr>
          <w:rFonts w:asciiTheme="minorHAnsi" w:hAnsiTheme="minorHAnsi" w:cstheme="minorHAnsi"/>
          <w:b/>
          <w:bCs/>
          <w:sz w:val="24"/>
          <w:szCs w:val="24"/>
        </w:rPr>
      </w:pPr>
    </w:p>
    <w:p w14:paraId="2564A448" w14:textId="094A1A17"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6E144611"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 A.W25 A.W26</w:t>
            </w:r>
          </w:p>
          <w:p w14:paraId="1AD0F210" w14:textId="70843C51" w:rsidR="00843D5C"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 A.U16, A.U17, A.U18, A.U15</w:t>
            </w:r>
          </w:p>
          <w:p w14:paraId="05B52CB6" w14:textId="77777777" w:rsidR="00060A3F" w:rsidRPr="00984ECC" w:rsidRDefault="00422AC0"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 K.04, K.05</w:t>
            </w:r>
          </w:p>
          <w:p w14:paraId="5333DEB7" w14:textId="256220E8"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Religijne, kulturowe, etniczne i narodowe uwarunkowania zachowań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54068BC9"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 A.W7, A.W8, A.W9, A.W10, A.W11, A.W12, A.W13, A.W14, A.W15, A.W16, A.W17, A.W18, A.W19, A.W20,</w:t>
            </w:r>
          </w:p>
          <w:p w14:paraId="7A476A7E" w14:textId="77777777"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78B9BA43" w14:textId="4F08F46C"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K.05,K.07</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Istota i charakterystyka procesu zarządzania. Zarządzanie zasobami ludzkimi w opiece zdrowotnej, zarządzanie personelem pielęgniarskim. Proces kadrowy – etapy procesu: planowanie zatrudnienia i rekrutacja kadr, wprowadzenie i adaptacja społeczno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77777777"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AU.20</w:t>
            </w:r>
          </w:p>
          <w:p w14:paraId="791ACF36" w14:textId="77777777"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w:t>
            </w:r>
            <w:r w:rsidR="00E21D1A" w:rsidRPr="00984ECC">
              <w:rPr>
                <w:rFonts w:asciiTheme="minorHAnsi" w:eastAsia="Times New Roman" w:hAnsiTheme="minorHAnsi" w:cstheme="minorHAnsi"/>
                <w:sz w:val="20"/>
                <w:szCs w:val="20"/>
              </w:rPr>
              <w:t>3</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lastRenderedPageBreak/>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Nowoczesna komunikacja i edukacja z wykorzystaniem nowoczesnych narzędzi social media</w:t>
            </w:r>
          </w:p>
        </w:tc>
        <w:tc>
          <w:tcPr>
            <w:tcW w:w="4231" w:type="dxa"/>
            <w:vAlign w:val="center"/>
          </w:tcPr>
          <w:p w14:paraId="53422DE1"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A_W12, A_W17, A_W22</w:t>
            </w:r>
          </w:p>
          <w:p w14:paraId="2CE6F4EB"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A_U15</w:t>
            </w:r>
          </w:p>
          <w:p w14:paraId="62F5B737" w14:textId="334EAF97"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K.02, K.03, K.06</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zachowaniem zasad etyki. Narzędzia analityczne do monitorowania efektywności działań w social media oraz techniki radzenia sobie z dezinformacją i fake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77777777"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A_W27_UMW</w:t>
            </w:r>
          </w:p>
          <w:p w14:paraId="5D6A934A"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A_U21UMW</w:t>
            </w:r>
          </w:p>
          <w:p w14:paraId="5CA154B9"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K.01,K.03, K.04, K.05, K.06</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 B.W2, B.W3, B.W4</w:t>
            </w:r>
          </w:p>
          <w:p w14:paraId="5F2255B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78EC6893" w14:textId="65E6EB0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K.07</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606CD4B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 B.W50, B.W51, B.W52</w:t>
            </w:r>
          </w:p>
          <w:p w14:paraId="7F793519"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 B.U50</w:t>
            </w:r>
          </w:p>
          <w:p w14:paraId="5E7E583D" w14:textId="03E3ADC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bariatrycznej) oraz w przypadku relaktacji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uroginekologiczna</w:t>
            </w:r>
          </w:p>
        </w:tc>
        <w:tc>
          <w:tcPr>
            <w:tcW w:w="4231" w:type="dxa"/>
            <w:vAlign w:val="center"/>
          </w:tcPr>
          <w:p w14:paraId="62D061AE" w14:textId="5807FC9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 B.W57 B.W58</w:t>
            </w:r>
          </w:p>
          <w:p w14:paraId="4572AAF0" w14:textId="069F873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 B.U55, B.U56</w:t>
            </w:r>
          </w:p>
          <w:p w14:paraId="31128818" w14:textId="464136A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Czynniki ryzyka zaburzeń uroginekologicznych związane z ciążą i porodem, ogólnym stanem zdrowia, wiekiem oraz stylem życia. Metody oceny siły mięśni dna miednicy i badania diagnostyczne stosowane w uroginekologii oraz zasady treningu i profilaktyki dysfunkcji mięśni dna miednicy w wysiłkowym nietrzymaniu moczu, zespole pęcherza nadreaktywnego i obniżeniu pęcherza nadreaktywnego, a także dysfunkcji występujących po operacjach w obrębie podbrzusza, po ciąży i porodzie metody profilaktyki schorzeń uroginekologicznych oraz postępowanie terapeutyczne w zaburzeniach uroginekologicznych.</w:t>
            </w:r>
          </w:p>
        </w:tc>
      </w:tr>
      <w:tr w:rsidR="00D71551" w:rsidRPr="00984ECC" w14:paraId="54500F68" w14:textId="77777777" w:rsidTr="00F45D03">
        <w:trPr>
          <w:trHeight w:val="289"/>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5F0A207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 B.W62 B.W63 B.W64 B.W65</w:t>
            </w:r>
          </w:p>
          <w:p w14:paraId="50F70484"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 B.U60, B.U6</w:t>
            </w:r>
          </w:p>
          <w:p w14:paraId="5EE85744" w14:textId="278B4C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świadczeń. Zasady koordynowania programów zdrowotnych oraz organizację procesu </w:t>
            </w:r>
            <w:r w:rsidRPr="00984ECC">
              <w:rPr>
                <w:rFonts w:asciiTheme="minorHAnsi" w:eastAsia="Times New Roman" w:hAnsiTheme="minorHAnsi" w:cstheme="minorHAnsi"/>
                <w:sz w:val="20"/>
                <w:szCs w:val="20"/>
              </w:rPr>
              <w:lastRenderedPageBreak/>
              <w:t xml:space="preserve">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Zasady funkcjonowania zespołów interprofesjonalnych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3F49A6">
        <w:trPr>
          <w:trHeight w:val="28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13408194" w14:textId="133360D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6E3419">
        <w:trPr>
          <w:trHeight w:val="289"/>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532EB34F"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257D71C3" w14:textId="577D1778"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846467">
        <w:trPr>
          <w:trHeight w:val="289"/>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53495777"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3793EA08" w14:textId="3FAD449A"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E52FEA">
        <w:trPr>
          <w:trHeight w:val="289"/>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6FECCCFC"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48932911" w14:textId="6A80DF26"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601F7111" w14:textId="77777777" w:rsidTr="00BD3F7F">
        <w:trPr>
          <w:trHeight w:val="289"/>
        </w:trPr>
        <w:tc>
          <w:tcPr>
            <w:tcW w:w="1002" w:type="dxa"/>
            <w:shd w:val="clear" w:color="auto" w:fill="auto"/>
            <w:noWrap/>
            <w:vAlign w:val="center"/>
          </w:tcPr>
          <w:p w14:paraId="077040DD" w14:textId="165517C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291E742A" w14:textId="78751CEC"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105B432E" w14:textId="576EBCC6"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5DE23B46"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A_W27_UMW</w:t>
            </w:r>
          </w:p>
          <w:p w14:paraId="58BC7316" w14:textId="77777777"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A_U21UMW</w:t>
            </w:r>
          </w:p>
          <w:p w14:paraId="182CFFF9" w14:textId="61B7ED4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K.01,K.03, K.04, K.05, K.06</w:t>
            </w:r>
          </w:p>
        </w:tc>
        <w:tc>
          <w:tcPr>
            <w:tcW w:w="7229" w:type="dxa"/>
          </w:tcPr>
          <w:p w14:paraId="3FBC91D1" w14:textId="77777777"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4032E068" w14:textId="77777777"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1164B925" w14:textId="7AD7DBAE"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4B652B3C" w14:textId="77777777" w:rsidTr="00F23650">
        <w:trPr>
          <w:trHeight w:val="289"/>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lastRenderedPageBreak/>
              <w:t xml:space="preserve">Stany nagłe w położnictwie i ginekologii </w:t>
            </w:r>
            <w:r w:rsidR="00873446" w:rsidRPr="00E71B52">
              <w:rPr>
                <w:rFonts w:asciiTheme="minorHAnsi" w:hAnsiTheme="minorHAnsi" w:cstheme="minorHAnsi"/>
                <w:sz w:val="20"/>
                <w:szCs w:val="20"/>
              </w:rPr>
              <w:t>w ujęciu inter</w:t>
            </w:r>
            <w:r w:rsidR="009762B8">
              <w:rPr>
                <w:rFonts w:asciiTheme="minorHAnsi" w:hAnsiTheme="minorHAnsi" w:cstheme="minorHAnsi"/>
                <w:sz w:val="20"/>
                <w:szCs w:val="20"/>
              </w:rPr>
              <w:t>profesjonalnym</w:t>
            </w:r>
          </w:p>
        </w:tc>
        <w:tc>
          <w:tcPr>
            <w:tcW w:w="4231" w:type="dxa"/>
          </w:tcPr>
          <w:p w14:paraId="3DD8DBB8" w14:textId="49C80942"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w:t>
            </w:r>
            <w:r>
              <w:rPr>
                <w:rFonts w:asciiTheme="minorHAnsi" w:hAnsiTheme="minorHAnsi" w:cstheme="minorHAnsi"/>
                <w:color w:val="000000"/>
                <w:sz w:val="20"/>
                <w:szCs w:val="20"/>
              </w:rPr>
              <w:t>7</w:t>
            </w:r>
            <w:r w:rsidRPr="00984ECC">
              <w:rPr>
                <w:rFonts w:asciiTheme="minorHAnsi" w:hAnsiTheme="minorHAnsi" w:cstheme="minorHAnsi"/>
                <w:color w:val="000000"/>
                <w:sz w:val="20"/>
                <w:szCs w:val="20"/>
              </w:rPr>
              <w:t>_UMW</w:t>
            </w:r>
          </w:p>
          <w:p w14:paraId="077DB27E" w14:textId="1B47C0D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B_U71_UMW</w:t>
            </w:r>
          </w:p>
          <w:p w14:paraId="7C352DB6" w14:textId="6BB5714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lastRenderedPageBreak/>
              <w:t>Zasady post</w:t>
            </w:r>
            <w:r>
              <w:rPr>
                <w:rFonts w:asciiTheme="minorHAnsi" w:hAnsiTheme="minorHAnsi" w:cstheme="minorHAnsi"/>
                <w:sz w:val="20"/>
                <w:szCs w:val="20"/>
              </w:rPr>
              <w:t>ę</w:t>
            </w:r>
            <w:r w:rsidRPr="00DC5B8F">
              <w:rPr>
                <w:rFonts w:asciiTheme="minorHAnsi" w:hAnsiTheme="minorHAnsi" w:cstheme="minorHAnsi"/>
                <w:sz w:val="20"/>
                <w:szCs w:val="20"/>
              </w:rPr>
              <w:t xml:space="preserve">powania w stanach nagłych w położnictwie i ginekologii w warunkach poszpitalnych we współpracy z zespołem ratownictwa medycznego: poród w </w:t>
            </w:r>
            <w:r w:rsidRPr="00DC5B8F">
              <w:rPr>
                <w:rFonts w:asciiTheme="minorHAnsi" w:hAnsiTheme="minorHAnsi" w:cstheme="minorHAnsi"/>
                <w:sz w:val="20"/>
                <w:szCs w:val="20"/>
              </w:rPr>
              <w:lastRenderedPageBreak/>
              <w:t>warunkach pozaszpitalnych,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F23650">
        <w:trPr>
          <w:trHeight w:val="289"/>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 C.W8</w:t>
            </w:r>
          </w:p>
          <w:p w14:paraId="4C4B6BBC"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 C.U7</w:t>
            </w:r>
          </w:p>
          <w:p w14:paraId="41B5718A" w14:textId="0470D80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1790D8C8" w14:textId="1F6F6BDB"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K.07</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53C8D207" w14:textId="2F2EA926"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K.02,K.07</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polipragmazji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 xml:space="preserve">B.U44, B.U45, </w:t>
            </w:r>
            <w:r w:rsidRPr="00984ECC">
              <w:rPr>
                <w:rFonts w:asciiTheme="minorHAnsi" w:eastAsia="Times New Roman" w:hAnsiTheme="minorHAnsi" w:cstheme="minorHAnsi"/>
                <w:sz w:val="20"/>
                <w:szCs w:val="20"/>
              </w:rPr>
              <w:t xml:space="preserve">B.U46, </w:t>
            </w:r>
            <w:r w:rsidRPr="00984ECC">
              <w:rPr>
                <w:rFonts w:asciiTheme="minorHAnsi" w:eastAsia="Times New Roman" w:hAnsiTheme="minorHAnsi" w:cstheme="minorHAnsi"/>
                <w:sz w:val="20"/>
                <w:szCs w:val="20"/>
                <w:lang w:eastAsia="pl-PL"/>
              </w:rPr>
              <w:t xml:space="preserve">B.U47, </w:t>
            </w:r>
            <w:r w:rsidRPr="00984ECC">
              <w:rPr>
                <w:rFonts w:asciiTheme="minorHAnsi" w:eastAsia="Times New Roman" w:hAnsiTheme="minorHAnsi" w:cstheme="minorHAnsi"/>
                <w:sz w:val="20"/>
                <w:szCs w:val="20"/>
              </w:rPr>
              <w:t>B.U48</w:t>
            </w:r>
          </w:p>
          <w:p w14:paraId="4641E78A" w14:textId="5908DC3D"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Organizacja i współpraca z członkami zespołu interprofesjonalnego w zakresie opieki nad kobietą w okresie okołoporodowym w ciąży powikłanej czynnikiem biologicznym, psychicznym i społecznym.</w:t>
            </w:r>
          </w:p>
          <w:p w14:paraId="695C6D80" w14:textId="433C70D9"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bio-psycho-społecnymi.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1"/>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2"/>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3"/>
            </w:r>
          </w:p>
        </w:tc>
      </w:tr>
      <w:tr w:rsidR="0030511E" w:rsidRPr="00984ECC" w14:paraId="1CF10BDF" w14:textId="77777777" w:rsidTr="0059434C">
        <w:tc>
          <w:tcPr>
            <w:tcW w:w="5000" w:type="pct"/>
            <w:gridSpan w:val="3"/>
            <w:shd w:val="pct10" w:color="auto" w:fill="auto"/>
            <w:vAlign w:val="center"/>
          </w:tcPr>
          <w:p w14:paraId="3706DA4A" w14:textId="168F70A5" w:rsidR="0030511E" w:rsidRPr="00984ECC" w:rsidRDefault="0030511E" w:rsidP="0059434C">
            <w:pP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59434C">
        <w:tc>
          <w:tcPr>
            <w:tcW w:w="777" w:type="pct"/>
            <w:shd w:val="clear" w:color="auto" w:fill="auto"/>
            <w:vAlign w:val="center"/>
          </w:tcPr>
          <w:p w14:paraId="66612C52" w14:textId="715118F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A_W01</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59434C">
        <w:tc>
          <w:tcPr>
            <w:tcW w:w="777" w:type="pct"/>
            <w:shd w:val="clear" w:color="auto" w:fill="auto"/>
            <w:vAlign w:val="center"/>
          </w:tcPr>
          <w:p w14:paraId="0F013FD0" w14:textId="04CDE6A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A_W02</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59434C">
        <w:tc>
          <w:tcPr>
            <w:tcW w:w="777" w:type="pct"/>
            <w:shd w:val="clear" w:color="auto" w:fill="auto"/>
            <w:vAlign w:val="center"/>
          </w:tcPr>
          <w:p w14:paraId="009AD437" w14:textId="235F78C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A_W03</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59434C">
        <w:tc>
          <w:tcPr>
            <w:tcW w:w="777" w:type="pct"/>
            <w:shd w:val="clear" w:color="auto" w:fill="auto"/>
            <w:vAlign w:val="center"/>
          </w:tcPr>
          <w:p w14:paraId="24CDED50" w14:textId="39AD81A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A_W04</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59434C">
        <w:tc>
          <w:tcPr>
            <w:tcW w:w="777" w:type="pct"/>
            <w:shd w:val="clear" w:color="auto" w:fill="auto"/>
            <w:vAlign w:val="center"/>
          </w:tcPr>
          <w:p w14:paraId="067A67F2" w14:textId="5A718499"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A_W05</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59434C">
        <w:tc>
          <w:tcPr>
            <w:tcW w:w="777" w:type="pct"/>
            <w:shd w:val="clear" w:color="auto" w:fill="auto"/>
            <w:vAlign w:val="center"/>
          </w:tcPr>
          <w:p w14:paraId="3010A0A9" w14:textId="554F663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A_W06</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59434C">
        <w:tc>
          <w:tcPr>
            <w:tcW w:w="777" w:type="pct"/>
            <w:shd w:val="clear" w:color="auto" w:fill="auto"/>
            <w:vAlign w:val="center"/>
          </w:tcPr>
          <w:p w14:paraId="181A243A" w14:textId="1FBA7E0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A_W07</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59434C">
        <w:tc>
          <w:tcPr>
            <w:tcW w:w="777" w:type="pct"/>
            <w:shd w:val="clear" w:color="auto" w:fill="auto"/>
            <w:vAlign w:val="center"/>
          </w:tcPr>
          <w:p w14:paraId="05C4EB05" w14:textId="3A60457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A_W08</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59434C">
        <w:tc>
          <w:tcPr>
            <w:tcW w:w="777" w:type="pct"/>
            <w:shd w:val="clear" w:color="auto" w:fill="auto"/>
            <w:vAlign w:val="center"/>
          </w:tcPr>
          <w:p w14:paraId="01C82B0D" w14:textId="546E96C1"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A_W09</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59434C">
        <w:tc>
          <w:tcPr>
            <w:tcW w:w="777" w:type="pct"/>
            <w:shd w:val="clear" w:color="auto" w:fill="auto"/>
            <w:vAlign w:val="center"/>
          </w:tcPr>
          <w:p w14:paraId="6504546E" w14:textId="10158E77"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A_W10</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59434C">
        <w:tc>
          <w:tcPr>
            <w:tcW w:w="777" w:type="pct"/>
            <w:shd w:val="clear" w:color="auto" w:fill="auto"/>
            <w:vAlign w:val="center"/>
          </w:tcPr>
          <w:p w14:paraId="06D05DCA" w14:textId="12843FB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A_W11</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59434C">
        <w:tc>
          <w:tcPr>
            <w:tcW w:w="777" w:type="pct"/>
            <w:shd w:val="clear" w:color="auto" w:fill="auto"/>
            <w:vAlign w:val="center"/>
          </w:tcPr>
          <w:p w14:paraId="71B42871" w14:textId="6AA9DA03"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A_W12</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59434C">
        <w:tc>
          <w:tcPr>
            <w:tcW w:w="777" w:type="pct"/>
            <w:shd w:val="clear" w:color="auto" w:fill="auto"/>
            <w:vAlign w:val="center"/>
          </w:tcPr>
          <w:p w14:paraId="0D7934FE" w14:textId="36DB68C2"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A_W13</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59434C">
        <w:tc>
          <w:tcPr>
            <w:tcW w:w="777" w:type="pct"/>
            <w:shd w:val="clear" w:color="auto" w:fill="auto"/>
            <w:vAlign w:val="center"/>
          </w:tcPr>
          <w:p w14:paraId="0D47EB74" w14:textId="1C9C97B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A_W14</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59434C">
        <w:tc>
          <w:tcPr>
            <w:tcW w:w="777" w:type="pct"/>
            <w:shd w:val="clear" w:color="auto" w:fill="auto"/>
            <w:vAlign w:val="center"/>
          </w:tcPr>
          <w:p w14:paraId="37DA17E9" w14:textId="629925D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A_W15</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59434C">
        <w:tc>
          <w:tcPr>
            <w:tcW w:w="777" w:type="pct"/>
            <w:shd w:val="clear" w:color="auto" w:fill="auto"/>
            <w:vAlign w:val="center"/>
          </w:tcPr>
          <w:p w14:paraId="2BE67C34" w14:textId="5C1B54A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A_W16</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59434C">
        <w:tc>
          <w:tcPr>
            <w:tcW w:w="777" w:type="pct"/>
            <w:shd w:val="clear" w:color="auto" w:fill="auto"/>
            <w:vAlign w:val="center"/>
          </w:tcPr>
          <w:p w14:paraId="5149B0A3" w14:textId="14646A6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A_W17</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59434C">
        <w:tc>
          <w:tcPr>
            <w:tcW w:w="777" w:type="pct"/>
            <w:shd w:val="clear" w:color="auto" w:fill="auto"/>
            <w:vAlign w:val="center"/>
          </w:tcPr>
          <w:p w14:paraId="27932C68" w14:textId="7C2223E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A_W18</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59434C">
        <w:tc>
          <w:tcPr>
            <w:tcW w:w="777" w:type="pct"/>
            <w:shd w:val="clear" w:color="auto" w:fill="auto"/>
            <w:vAlign w:val="center"/>
          </w:tcPr>
          <w:p w14:paraId="152E4746" w14:textId="7B2ABA4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A_W19</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59434C">
        <w:tc>
          <w:tcPr>
            <w:tcW w:w="777" w:type="pct"/>
            <w:shd w:val="clear" w:color="auto" w:fill="auto"/>
            <w:vAlign w:val="center"/>
          </w:tcPr>
          <w:p w14:paraId="597872D8" w14:textId="2624EBB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lastRenderedPageBreak/>
              <w:t>A_W20</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59434C">
        <w:tc>
          <w:tcPr>
            <w:tcW w:w="777" w:type="pct"/>
            <w:shd w:val="clear" w:color="auto" w:fill="auto"/>
            <w:vAlign w:val="center"/>
          </w:tcPr>
          <w:p w14:paraId="4A951040" w14:textId="1883B35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A_W21</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59434C">
        <w:tc>
          <w:tcPr>
            <w:tcW w:w="777" w:type="pct"/>
            <w:shd w:val="clear" w:color="auto" w:fill="auto"/>
            <w:vAlign w:val="center"/>
          </w:tcPr>
          <w:p w14:paraId="1BF3DA77" w14:textId="2351FAF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A_W22</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59434C">
        <w:tc>
          <w:tcPr>
            <w:tcW w:w="777" w:type="pct"/>
            <w:shd w:val="clear" w:color="auto" w:fill="auto"/>
            <w:vAlign w:val="center"/>
          </w:tcPr>
          <w:p w14:paraId="43D662A7" w14:textId="1E9C185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A_W23</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59434C">
        <w:tc>
          <w:tcPr>
            <w:tcW w:w="777" w:type="pct"/>
            <w:shd w:val="clear" w:color="auto" w:fill="auto"/>
            <w:vAlign w:val="center"/>
          </w:tcPr>
          <w:p w14:paraId="3BE62A32" w14:textId="4144E25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A_W24</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teorie i modele opieki w odniesieniu do wielokulturowości podopiecznych w opiece położniczo-neonatologicznej i ginekologicznej, w tym teorię Madeleine Leininger</w:t>
            </w:r>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59434C">
        <w:tc>
          <w:tcPr>
            <w:tcW w:w="777" w:type="pct"/>
            <w:shd w:val="clear" w:color="auto" w:fill="auto"/>
            <w:vAlign w:val="center"/>
          </w:tcPr>
          <w:p w14:paraId="63FB4360" w14:textId="46ED0C1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A_W25</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kulturowe, religijne i społeczne uwarunkowania organizacji terapii i zapewnienia opieki położnej, z uwzględnieniem zachowań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59434C">
        <w:tc>
          <w:tcPr>
            <w:tcW w:w="777" w:type="pct"/>
            <w:shd w:val="clear" w:color="auto" w:fill="auto"/>
            <w:vAlign w:val="center"/>
          </w:tcPr>
          <w:p w14:paraId="38CAAD5B" w14:textId="363633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A_W26</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59434C">
        <w:trPr>
          <w:trHeight w:val="702"/>
        </w:trPr>
        <w:tc>
          <w:tcPr>
            <w:tcW w:w="777" w:type="pct"/>
            <w:shd w:val="clear" w:color="auto" w:fill="F2F2F2" w:themeFill="background1" w:themeFillShade="F2"/>
            <w:vAlign w:val="center"/>
          </w:tcPr>
          <w:p w14:paraId="029E4731" w14:textId="6302A9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A_W27_UMW</w:t>
            </w:r>
          </w:p>
        </w:tc>
        <w:tc>
          <w:tcPr>
            <w:tcW w:w="3649" w:type="pct"/>
            <w:shd w:val="clear" w:color="auto" w:fill="auto"/>
            <w:vAlign w:val="center"/>
          </w:tcPr>
          <w:p w14:paraId="0D1DC8A5" w14:textId="2C5EE6BF"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 xml:space="preserve">warunkowania stresu w aspekcie blokady komunikacyjnej w interakcji między współpracownikami oraz pacjentką i </w:t>
            </w:r>
            <w:r w:rsidR="007F4AD2">
              <w:rPr>
                <w:rFonts w:asciiTheme="minorHAnsi" w:eastAsia="Times New Roman" w:hAnsiTheme="minorHAnsi" w:cstheme="minorHAnsi"/>
              </w:rPr>
              <w:t>j</w:t>
            </w:r>
            <w:r w:rsidR="00884034" w:rsidRPr="00984ECC">
              <w:rPr>
                <w:rFonts w:asciiTheme="minorHAnsi" w:eastAsia="Times New Roman" w:hAnsiTheme="minorHAnsi" w:cstheme="minorHAnsi"/>
              </w:rPr>
              <w:t>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59434C">
        <w:tc>
          <w:tcPr>
            <w:tcW w:w="777" w:type="pct"/>
            <w:shd w:val="clear" w:color="auto" w:fill="auto"/>
            <w:vAlign w:val="center"/>
          </w:tcPr>
          <w:p w14:paraId="1657E253" w14:textId="51A906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B_W01</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59434C">
        <w:tc>
          <w:tcPr>
            <w:tcW w:w="777" w:type="pct"/>
            <w:shd w:val="clear" w:color="auto" w:fill="auto"/>
            <w:vAlign w:val="center"/>
          </w:tcPr>
          <w:p w14:paraId="7EC359E5" w14:textId="4C13C1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B_W02</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59434C">
        <w:tc>
          <w:tcPr>
            <w:tcW w:w="777" w:type="pct"/>
            <w:shd w:val="clear" w:color="auto" w:fill="auto"/>
            <w:vAlign w:val="center"/>
          </w:tcPr>
          <w:p w14:paraId="76A6113D" w14:textId="366C48B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B_W03</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59434C">
        <w:tc>
          <w:tcPr>
            <w:tcW w:w="777" w:type="pct"/>
            <w:shd w:val="clear" w:color="auto" w:fill="auto"/>
            <w:vAlign w:val="center"/>
          </w:tcPr>
          <w:p w14:paraId="2633749B" w14:textId="030FD95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B_W04</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zjawisko polifarmakoterapii i polipragmazji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59434C">
        <w:tc>
          <w:tcPr>
            <w:tcW w:w="777" w:type="pct"/>
            <w:shd w:val="clear" w:color="auto" w:fill="auto"/>
            <w:vAlign w:val="center"/>
          </w:tcPr>
          <w:p w14:paraId="7E20A53D" w14:textId="59D8A99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B_W05</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59434C">
        <w:tc>
          <w:tcPr>
            <w:tcW w:w="777" w:type="pct"/>
            <w:shd w:val="clear" w:color="auto" w:fill="auto"/>
            <w:vAlign w:val="center"/>
          </w:tcPr>
          <w:p w14:paraId="02F52F8C" w14:textId="4EA1888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B_W06</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59434C">
        <w:tc>
          <w:tcPr>
            <w:tcW w:w="777" w:type="pct"/>
            <w:shd w:val="clear" w:color="auto" w:fill="auto"/>
            <w:vAlign w:val="center"/>
          </w:tcPr>
          <w:p w14:paraId="6B526E17" w14:textId="4CFDBCA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B_W07</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metody farmakologicznego i niefarmakologicznego postępowania przeciwbólowego zgodnie z rekomendacjami i zaleceniami Polskiego Towarzystwa Badania Bólu oraz odrębności terapii przeciwbólowej w zależności od wieku (noworodek, niemowlę, kobieta w okresie senium)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59434C">
        <w:tc>
          <w:tcPr>
            <w:tcW w:w="777" w:type="pct"/>
            <w:shd w:val="clear" w:color="auto" w:fill="auto"/>
            <w:vAlign w:val="center"/>
          </w:tcPr>
          <w:p w14:paraId="67CFC7D3" w14:textId="0DBA94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B_W08</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działanie i skuteczność leków przeciwbólowych z różnych grup (opioidowe i nieopioidowe leki przeciwbólowe, niesteroidowe leki przeciwzapalne (NLPZ), drabina analgetyczna i koanalgetyki)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59434C">
        <w:tc>
          <w:tcPr>
            <w:tcW w:w="777" w:type="pct"/>
            <w:shd w:val="clear" w:color="auto" w:fill="auto"/>
            <w:vAlign w:val="center"/>
          </w:tcPr>
          <w:p w14:paraId="36310F59" w14:textId="1D94C84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B_W09</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59434C">
        <w:tc>
          <w:tcPr>
            <w:tcW w:w="777" w:type="pct"/>
            <w:shd w:val="clear" w:color="auto" w:fill="auto"/>
            <w:vAlign w:val="center"/>
          </w:tcPr>
          <w:p w14:paraId="2EF559FB" w14:textId="3541889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B_W10</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59434C">
        <w:tc>
          <w:tcPr>
            <w:tcW w:w="777" w:type="pct"/>
            <w:shd w:val="clear" w:color="auto" w:fill="auto"/>
            <w:vAlign w:val="center"/>
          </w:tcPr>
          <w:p w14:paraId="2555623A" w14:textId="1B654A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B_W11</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59434C">
        <w:tc>
          <w:tcPr>
            <w:tcW w:w="777" w:type="pct"/>
            <w:shd w:val="clear" w:color="auto" w:fill="auto"/>
            <w:vAlign w:val="center"/>
          </w:tcPr>
          <w:p w14:paraId="01DD660B" w14:textId="30DEAAE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B_W12</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59434C">
        <w:tc>
          <w:tcPr>
            <w:tcW w:w="777" w:type="pct"/>
            <w:shd w:val="clear" w:color="auto" w:fill="auto"/>
            <w:vAlign w:val="center"/>
          </w:tcPr>
          <w:p w14:paraId="07606F9F" w14:textId="256F33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B_W13</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59434C">
        <w:tc>
          <w:tcPr>
            <w:tcW w:w="777" w:type="pct"/>
            <w:shd w:val="clear" w:color="auto" w:fill="auto"/>
            <w:vAlign w:val="center"/>
          </w:tcPr>
          <w:p w14:paraId="5AB6521F" w14:textId="6C7D3E5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B_W14</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rozróżnianie obrazów badania USG w przypadku ciąży ektopowej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59434C">
        <w:tc>
          <w:tcPr>
            <w:tcW w:w="777" w:type="pct"/>
            <w:shd w:val="clear" w:color="auto" w:fill="auto"/>
            <w:vAlign w:val="center"/>
          </w:tcPr>
          <w:p w14:paraId="77CB1248" w14:textId="5160FF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B_W15</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59434C">
        <w:tc>
          <w:tcPr>
            <w:tcW w:w="777" w:type="pct"/>
            <w:shd w:val="clear" w:color="auto" w:fill="auto"/>
            <w:vAlign w:val="center"/>
          </w:tcPr>
          <w:p w14:paraId="6E76341D" w14:textId="6BF3F23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B_W16</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59434C">
        <w:tc>
          <w:tcPr>
            <w:tcW w:w="777" w:type="pct"/>
            <w:shd w:val="clear" w:color="auto" w:fill="auto"/>
            <w:vAlign w:val="center"/>
          </w:tcPr>
          <w:p w14:paraId="69F9AE67" w14:textId="2E8151F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B_W17</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wskazania do wykonywania badania USG w trakcie porodu (zahamowanie postępu porodu w przebiegu I i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59434C">
        <w:tc>
          <w:tcPr>
            <w:tcW w:w="777" w:type="pct"/>
            <w:shd w:val="clear" w:color="auto" w:fill="auto"/>
            <w:vAlign w:val="center"/>
          </w:tcPr>
          <w:p w14:paraId="2F15D2EF" w14:textId="24341A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B_W18</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59434C">
        <w:tc>
          <w:tcPr>
            <w:tcW w:w="777" w:type="pct"/>
            <w:shd w:val="clear" w:color="auto" w:fill="auto"/>
            <w:vAlign w:val="center"/>
          </w:tcPr>
          <w:p w14:paraId="35929DED" w14:textId="7B61277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B_W19</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59434C">
        <w:tc>
          <w:tcPr>
            <w:tcW w:w="777" w:type="pct"/>
            <w:shd w:val="clear" w:color="auto" w:fill="auto"/>
            <w:vAlign w:val="center"/>
          </w:tcPr>
          <w:p w14:paraId="50CB16C6" w14:textId="36BC995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B_W20</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59434C">
        <w:tc>
          <w:tcPr>
            <w:tcW w:w="777" w:type="pct"/>
            <w:shd w:val="clear" w:color="auto" w:fill="auto"/>
            <w:vAlign w:val="center"/>
          </w:tcPr>
          <w:p w14:paraId="14FFA8FE" w14:textId="358861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B_W21</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59434C">
        <w:tc>
          <w:tcPr>
            <w:tcW w:w="777" w:type="pct"/>
            <w:shd w:val="clear" w:color="auto" w:fill="auto"/>
            <w:vAlign w:val="center"/>
          </w:tcPr>
          <w:p w14:paraId="6C8995D2" w14:textId="0A9EA92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B_W22</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Federation of Gynecology and Obstetrics,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r w:rsidRPr="00984ECC">
              <w:rPr>
                <w:rFonts w:asciiTheme="minorHAnsi" w:eastAsia="Times New Roman" w:hAnsiTheme="minorHAnsi" w:cstheme="minorHAnsi"/>
                <w:i/>
              </w:rPr>
              <w:t>Tumour</w:t>
            </w:r>
            <w:r w:rsidRPr="00984ECC">
              <w:rPr>
                <w:rFonts w:asciiTheme="minorHAnsi" w:eastAsia="Times New Roman" w:hAnsiTheme="minorHAnsi" w:cstheme="minorHAnsi"/>
              </w:rPr>
              <w:t xml:space="preserve"> – guz (pierwotny), </w:t>
            </w:r>
            <w:r w:rsidRPr="00984ECC">
              <w:rPr>
                <w:rFonts w:asciiTheme="minorHAnsi" w:eastAsia="Times New Roman" w:hAnsiTheme="minorHAnsi" w:cstheme="minorHAnsi"/>
                <w:i/>
              </w:rPr>
              <w:t>Node</w:t>
            </w:r>
            <w:r w:rsidRPr="00984ECC">
              <w:rPr>
                <w:rFonts w:asciiTheme="minorHAnsi" w:eastAsia="Times New Roman" w:hAnsiTheme="minorHAnsi" w:cstheme="minorHAnsi"/>
              </w:rPr>
              <w:t xml:space="preserve"> – węzeł (chłonny), </w:t>
            </w:r>
            <w:r w:rsidRPr="00984ECC">
              <w:rPr>
                <w:rFonts w:asciiTheme="minorHAnsi" w:eastAsia="Times New Roman" w:hAnsiTheme="minorHAnsi" w:cstheme="minorHAnsi"/>
                <w:i/>
              </w:rPr>
              <w:t>Metastases</w:t>
            </w:r>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59434C">
        <w:tc>
          <w:tcPr>
            <w:tcW w:w="777" w:type="pct"/>
            <w:shd w:val="clear" w:color="auto" w:fill="auto"/>
            <w:vAlign w:val="center"/>
          </w:tcPr>
          <w:p w14:paraId="6B6D3ED5" w14:textId="43516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B_W23</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59434C">
        <w:tc>
          <w:tcPr>
            <w:tcW w:w="777" w:type="pct"/>
            <w:shd w:val="clear" w:color="auto" w:fill="auto"/>
            <w:vAlign w:val="center"/>
          </w:tcPr>
          <w:p w14:paraId="07A4F48F" w14:textId="7DE9912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B_W24</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59434C">
        <w:tc>
          <w:tcPr>
            <w:tcW w:w="777" w:type="pct"/>
            <w:shd w:val="clear" w:color="auto" w:fill="auto"/>
            <w:vAlign w:val="center"/>
          </w:tcPr>
          <w:p w14:paraId="70663A24" w14:textId="5EF6E3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B_W25</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59434C">
        <w:tc>
          <w:tcPr>
            <w:tcW w:w="777" w:type="pct"/>
            <w:shd w:val="clear" w:color="auto" w:fill="auto"/>
            <w:vAlign w:val="center"/>
          </w:tcPr>
          <w:p w14:paraId="34265D94" w14:textId="202AFA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B_W26</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59434C">
        <w:tc>
          <w:tcPr>
            <w:tcW w:w="777" w:type="pct"/>
            <w:shd w:val="clear" w:color="auto" w:fill="auto"/>
            <w:vAlign w:val="center"/>
          </w:tcPr>
          <w:p w14:paraId="7A2C26E7" w14:textId="2C1AAD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B_W27</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59434C">
        <w:tc>
          <w:tcPr>
            <w:tcW w:w="777" w:type="pct"/>
            <w:shd w:val="clear" w:color="auto" w:fill="auto"/>
            <w:vAlign w:val="center"/>
          </w:tcPr>
          <w:p w14:paraId="5E01C323" w14:textId="20366C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B_W28</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59434C">
        <w:tc>
          <w:tcPr>
            <w:tcW w:w="777" w:type="pct"/>
            <w:shd w:val="clear" w:color="auto" w:fill="auto"/>
            <w:vAlign w:val="center"/>
          </w:tcPr>
          <w:p w14:paraId="68D57FE5" w14:textId="39B9032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B_W29</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59434C">
        <w:tc>
          <w:tcPr>
            <w:tcW w:w="777" w:type="pct"/>
            <w:shd w:val="clear" w:color="auto" w:fill="auto"/>
            <w:vAlign w:val="center"/>
          </w:tcPr>
          <w:p w14:paraId="747B0C2D" w14:textId="70267F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B_W30</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59434C">
        <w:tc>
          <w:tcPr>
            <w:tcW w:w="777" w:type="pct"/>
            <w:shd w:val="clear" w:color="auto" w:fill="auto"/>
            <w:vAlign w:val="center"/>
          </w:tcPr>
          <w:p w14:paraId="3DC0766F" w14:textId="3C99C4D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B_W31</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59434C">
        <w:tc>
          <w:tcPr>
            <w:tcW w:w="777" w:type="pct"/>
            <w:shd w:val="clear" w:color="auto" w:fill="auto"/>
            <w:vAlign w:val="center"/>
          </w:tcPr>
          <w:p w14:paraId="1BE9E924" w14:textId="150EB38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B_W32</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prekoncepcyjnym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59434C">
        <w:tc>
          <w:tcPr>
            <w:tcW w:w="777" w:type="pct"/>
            <w:shd w:val="clear" w:color="auto" w:fill="auto"/>
            <w:vAlign w:val="center"/>
          </w:tcPr>
          <w:p w14:paraId="2F1F76DC" w14:textId="3E2D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B_W33</w:t>
            </w:r>
          </w:p>
        </w:tc>
        <w:tc>
          <w:tcPr>
            <w:tcW w:w="3649" w:type="pct"/>
            <w:shd w:val="clear" w:color="auto" w:fill="auto"/>
            <w:vAlign w:val="center"/>
          </w:tcPr>
          <w:p w14:paraId="651FA39F" w14:textId="0697A3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r w:rsidR="005632CD">
              <w:rPr>
                <w:rFonts w:asciiTheme="minorHAnsi" w:eastAsia="Times New Roman" w:hAnsiTheme="minorHAnsi" w:cstheme="minorHAnsi"/>
              </w:rPr>
              <w:t xml:space="preserve"> i hiperglikemii oraz pojawienia się stanów zagrożenia życia występujących w cukrzycy</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59434C">
        <w:tc>
          <w:tcPr>
            <w:tcW w:w="777" w:type="pct"/>
            <w:shd w:val="clear" w:color="auto" w:fill="auto"/>
            <w:vAlign w:val="center"/>
          </w:tcPr>
          <w:p w14:paraId="4475FBB4" w14:textId="32DD4AF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B_W34</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59434C">
        <w:tc>
          <w:tcPr>
            <w:tcW w:w="777" w:type="pct"/>
            <w:shd w:val="clear" w:color="auto" w:fill="auto"/>
            <w:vAlign w:val="center"/>
          </w:tcPr>
          <w:p w14:paraId="17FA09BF" w14:textId="3196F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B_W35</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planowania ciąży dla kobiet z cukrzycą przedciążową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59434C">
        <w:tc>
          <w:tcPr>
            <w:tcW w:w="777" w:type="pct"/>
            <w:shd w:val="clear" w:color="auto" w:fill="auto"/>
            <w:vAlign w:val="center"/>
          </w:tcPr>
          <w:p w14:paraId="25A2F4FC" w14:textId="07226D1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B_W36</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59434C">
        <w:tc>
          <w:tcPr>
            <w:tcW w:w="777" w:type="pct"/>
            <w:shd w:val="clear" w:color="auto" w:fill="auto"/>
            <w:vAlign w:val="center"/>
          </w:tcPr>
          <w:p w14:paraId="004309E0" w14:textId="57E8EF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B_W37</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charakterystykę rany przewlekłej, odleżynowej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59434C">
        <w:tc>
          <w:tcPr>
            <w:tcW w:w="777" w:type="pct"/>
            <w:shd w:val="clear" w:color="auto" w:fill="auto"/>
            <w:vAlign w:val="center"/>
          </w:tcPr>
          <w:p w14:paraId="18F3A722" w14:textId="7A45D8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B_W38</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59434C">
        <w:tc>
          <w:tcPr>
            <w:tcW w:w="777" w:type="pct"/>
            <w:shd w:val="clear" w:color="auto" w:fill="auto"/>
            <w:vAlign w:val="center"/>
          </w:tcPr>
          <w:p w14:paraId="68D82E27" w14:textId="39A125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B_W39</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lawaseptyków,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59434C">
        <w:tc>
          <w:tcPr>
            <w:tcW w:w="777" w:type="pct"/>
            <w:shd w:val="clear" w:color="auto" w:fill="auto"/>
            <w:vAlign w:val="center"/>
          </w:tcPr>
          <w:p w14:paraId="23870C96" w14:textId="099FDF7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B_W40</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stomijnego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59434C">
        <w:tc>
          <w:tcPr>
            <w:tcW w:w="777" w:type="pct"/>
            <w:shd w:val="clear" w:color="auto" w:fill="auto"/>
            <w:vAlign w:val="center"/>
          </w:tcPr>
          <w:p w14:paraId="70471F97" w14:textId="49079B2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B_W41</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z raną przewlekłą, odleżynową,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59434C">
        <w:tc>
          <w:tcPr>
            <w:tcW w:w="777" w:type="pct"/>
            <w:shd w:val="clear" w:color="auto" w:fill="auto"/>
            <w:vAlign w:val="center"/>
          </w:tcPr>
          <w:p w14:paraId="6805D322" w14:textId="2D58D44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B_W42</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59434C">
        <w:tc>
          <w:tcPr>
            <w:tcW w:w="777" w:type="pct"/>
            <w:shd w:val="clear" w:color="auto" w:fill="auto"/>
            <w:vAlign w:val="center"/>
          </w:tcPr>
          <w:p w14:paraId="14220043" w14:textId="3CCD69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B_W43</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59434C">
        <w:tc>
          <w:tcPr>
            <w:tcW w:w="777" w:type="pct"/>
            <w:shd w:val="clear" w:color="auto" w:fill="auto"/>
            <w:vAlign w:val="center"/>
          </w:tcPr>
          <w:p w14:paraId="09F9A441" w14:textId="72211EB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B_W44</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59434C">
        <w:tc>
          <w:tcPr>
            <w:tcW w:w="777" w:type="pct"/>
            <w:shd w:val="clear" w:color="auto" w:fill="auto"/>
            <w:vAlign w:val="center"/>
          </w:tcPr>
          <w:p w14:paraId="4387CE06" w14:textId="739BA6E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B_W45</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59434C">
        <w:tc>
          <w:tcPr>
            <w:tcW w:w="777" w:type="pct"/>
            <w:shd w:val="clear" w:color="auto" w:fill="auto"/>
            <w:vAlign w:val="center"/>
          </w:tcPr>
          <w:p w14:paraId="44691644" w14:textId="6A15680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B_W46</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59434C">
        <w:tc>
          <w:tcPr>
            <w:tcW w:w="777" w:type="pct"/>
            <w:shd w:val="clear" w:color="auto" w:fill="auto"/>
            <w:vAlign w:val="center"/>
          </w:tcPr>
          <w:p w14:paraId="14F48720" w14:textId="207DC89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B_W47</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59434C">
        <w:tc>
          <w:tcPr>
            <w:tcW w:w="777" w:type="pct"/>
            <w:shd w:val="clear" w:color="auto" w:fill="auto"/>
            <w:vAlign w:val="center"/>
          </w:tcPr>
          <w:p w14:paraId="2784879C" w14:textId="42D5A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B_W48</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59434C">
        <w:tc>
          <w:tcPr>
            <w:tcW w:w="777" w:type="pct"/>
            <w:shd w:val="clear" w:color="auto" w:fill="auto"/>
            <w:vAlign w:val="center"/>
          </w:tcPr>
          <w:p w14:paraId="60EB9071" w14:textId="316FA3D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B_W49</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59434C">
        <w:tc>
          <w:tcPr>
            <w:tcW w:w="777" w:type="pct"/>
            <w:shd w:val="clear" w:color="auto" w:fill="auto"/>
            <w:vAlign w:val="center"/>
          </w:tcPr>
          <w:p w14:paraId="140077EF" w14:textId="7AC503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B_W50</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59434C">
        <w:tc>
          <w:tcPr>
            <w:tcW w:w="777" w:type="pct"/>
            <w:shd w:val="clear" w:color="auto" w:fill="auto"/>
            <w:vAlign w:val="center"/>
          </w:tcPr>
          <w:p w14:paraId="1E5191CE" w14:textId="402290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B_W51</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czynniki sprzyjające laktacji i zaburzające laktację oraz zasady postępowania w przypadku sytuacji trudnych w laktacji (po operacji chirurgicznej piersi, po operacji bariatrycznej), relaktacji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59434C">
        <w:tc>
          <w:tcPr>
            <w:tcW w:w="777" w:type="pct"/>
            <w:shd w:val="clear" w:color="auto" w:fill="auto"/>
            <w:vAlign w:val="center"/>
          </w:tcPr>
          <w:p w14:paraId="0219C9F0" w14:textId="59DE39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B_W52</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59434C">
        <w:tc>
          <w:tcPr>
            <w:tcW w:w="777" w:type="pct"/>
            <w:shd w:val="clear" w:color="auto" w:fill="auto"/>
            <w:vAlign w:val="center"/>
          </w:tcPr>
          <w:p w14:paraId="78868337" w14:textId="0700CF3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B_W53</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zasady koordynacji działań związanych z prowadzeniem edukacji terapeutycznej w celu uzyskania przez kobietę z cukrzycą normoglikemii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59434C">
        <w:tc>
          <w:tcPr>
            <w:tcW w:w="777" w:type="pct"/>
            <w:shd w:val="clear" w:color="auto" w:fill="auto"/>
            <w:vAlign w:val="center"/>
          </w:tcPr>
          <w:p w14:paraId="6DFA7C80" w14:textId="387D909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B_W54</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59434C">
        <w:tc>
          <w:tcPr>
            <w:tcW w:w="777" w:type="pct"/>
            <w:shd w:val="clear" w:color="auto" w:fill="auto"/>
            <w:vAlign w:val="center"/>
          </w:tcPr>
          <w:p w14:paraId="63749BB2" w14:textId="62644AE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B_W55</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59434C">
        <w:tc>
          <w:tcPr>
            <w:tcW w:w="777" w:type="pct"/>
            <w:shd w:val="clear" w:color="auto" w:fill="auto"/>
            <w:vAlign w:val="center"/>
          </w:tcPr>
          <w:p w14:paraId="71C2E34C" w14:textId="57209B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B_W56</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czynniki ryzyka zaburzeń uroginekologicznych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59434C">
        <w:tc>
          <w:tcPr>
            <w:tcW w:w="777" w:type="pct"/>
            <w:shd w:val="clear" w:color="auto" w:fill="auto"/>
            <w:vAlign w:val="center"/>
          </w:tcPr>
          <w:p w14:paraId="4E7AA992" w14:textId="11C9C9E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B_W57</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uroginekologii oraz zasady treningu i profilaktyki dysfunkcji mięśni dna miednicy w wysiłkowym nietrzymaniu moczu, zespole pęcherza nadreaktywnego i obniżeniu pęcherza nadreaktywnego,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59434C">
        <w:tc>
          <w:tcPr>
            <w:tcW w:w="777" w:type="pct"/>
            <w:shd w:val="clear" w:color="auto" w:fill="auto"/>
            <w:vAlign w:val="center"/>
          </w:tcPr>
          <w:p w14:paraId="47A9165D" w14:textId="0E6D85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B_W58</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uroginekologicznych oraz postępowanie terapeutyczne w zaburzeniach uroginekologicznych;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59434C">
        <w:tc>
          <w:tcPr>
            <w:tcW w:w="777" w:type="pct"/>
            <w:shd w:val="clear" w:color="auto" w:fill="auto"/>
            <w:vAlign w:val="center"/>
          </w:tcPr>
          <w:p w14:paraId="6BA84151" w14:textId="433BF4C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B_W59</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59434C">
        <w:tc>
          <w:tcPr>
            <w:tcW w:w="777" w:type="pct"/>
            <w:shd w:val="clear" w:color="auto" w:fill="auto"/>
            <w:vAlign w:val="center"/>
          </w:tcPr>
          <w:p w14:paraId="7DE0A0BF" w14:textId="543FC72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B_W60</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59434C">
        <w:tc>
          <w:tcPr>
            <w:tcW w:w="777" w:type="pct"/>
            <w:shd w:val="clear" w:color="auto" w:fill="auto"/>
            <w:vAlign w:val="center"/>
          </w:tcPr>
          <w:p w14:paraId="65235104" w14:textId="7F9D3A7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B_W61</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59434C">
        <w:tc>
          <w:tcPr>
            <w:tcW w:w="777" w:type="pct"/>
            <w:shd w:val="clear" w:color="auto" w:fill="auto"/>
            <w:vAlign w:val="center"/>
          </w:tcPr>
          <w:p w14:paraId="254D795D" w14:textId="27C2652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B_W62</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59434C">
        <w:tc>
          <w:tcPr>
            <w:tcW w:w="777" w:type="pct"/>
            <w:shd w:val="clear" w:color="auto" w:fill="auto"/>
            <w:vAlign w:val="center"/>
          </w:tcPr>
          <w:p w14:paraId="71051CBC" w14:textId="1579321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B_W63</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59434C">
        <w:tc>
          <w:tcPr>
            <w:tcW w:w="777" w:type="pct"/>
            <w:shd w:val="clear" w:color="auto" w:fill="auto"/>
            <w:vAlign w:val="center"/>
          </w:tcPr>
          <w:p w14:paraId="7E54E0E2" w14:textId="75F2FF7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B_W64</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funkcjonowania zespołów interprofesjonalnych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59434C">
        <w:tc>
          <w:tcPr>
            <w:tcW w:w="777" w:type="pct"/>
            <w:shd w:val="clear" w:color="auto" w:fill="auto"/>
            <w:vAlign w:val="center"/>
          </w:tcPr>
          <w:p w14:paraId="72FFA459" w14:textId="543D900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B_W65</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59434C">
        <w:tc>
          <w:tcPr>
            <w:tcW w:w="777" w:type="pct"/>
            <w:shd w:val="clear" w:color="auto" w:fill="F2F2F2" w:themeFill="background1" w:themeFillShade="F2"/>
            <w:vAlign w:val="center"/>
          </w:tcPr>
          <w:p w14:paraId="35FBF78C" w14:textId="621DAE7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B_W66_FU</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59434C">
        <w:tc>
          <w:tcPr>
            <w:tcW w:w="777" w:type="pct"/>
            <w:shd w:val="clear" w:color="auto" w:fill="F2F2F2" w:themeFill="background1" w:themeFillShade="F2"/>
            <w:vAlign w:val="center"/>
          </w:tcPr>
          <w:p w14:paraId="44BA1B82" w14:textId="4990B8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B_W67_FU</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59434C">
        <w:tc>
          <w:tcPr>
            <w:tcW w:w="777" w:type="pct"/>
            <w:shd w:val="clear" w:color="auto" w:fill="F2F2F2" w:themeFill="background1" w:themeFillShade="F2"/>
            <w:vAlign w:val="center"/>
          </w:tcPr>
          <w:p w14:paraId="0CA96545" w14:textId="20F2964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B_W68_FU</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59434C">
        <w:tc>
          <w:tcPr>
            <w:tcW w:w="777" w:type="pct"/>
            <w:shd w:val="clear" w:color="auto" w:fill="F2F2F2" w:themeFill="background1" w:themeFillShade="F2"/>
            <w:vAlign w:val="center"/>
          </w:tcPr>
          <w:p w14:paraId="0FAFAF86" w14:textId="4B9F7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B_W69_FU</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59434C">
        <w:tc>
          <w:tcPr>
            <w:tcW w:w="777" w:type="pct"/>
            <w:shd w:val="clear" w:color="auto" w:fill="F2F2F2" w:themeFill="background1" w:themeFillShade="F2"/>
            <w:vAlign w:val="center"/>
          </w:tcPr>
          <w:p w14:paraId="01B411A3" w14:textId="621566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B_W70_FU</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59434C">
        <w:tc>
          <w:tcPr>
            <w:tcW w:w="777" w:type="pct"/>
            <w:shd w:val="clear" w:color="auto" w:fill="F2F2F2" w:themeFill="background1" w:themeFillShade="F2"/>
            <w:vAlign w:val="center"/>
          </w:tcPr>
          <w:p w14:paraId="0B87003E" w14:textId="25FAA4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B_W71_UMW</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bio-psycho-społeczne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59434C">
        <w:tc>
          <w:tcPr>
            <w:tcW w:w="777" w:type="pct"/>
            <w:shd w:val="clear" w:color="auto" w:fill="F2F2F2" w:themeFill="background1" w:themeFillShade="F2"/>
            <w:vAlign w:val="center"/>
          </w:tcPr>
          <w:p w14:paraId="087BF418" w14:textId="63210F4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B_W72_UMW</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59434C">
        <w:tc>
          <w:tcPr>
            <w:tcW w:w="777" w:type="pct"/>
            <w:shd w:val="clear" w:color="auto" w:fill="F2F2F2" w:themeFill="background1" w:themeFillShade="F2"/>
            <w:vAlign w:val="center"/>
          </w:tcPr>
          <w:p w14:paraId="0131E0B9" w14:textId="754B7C9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B_W73_UMW</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59434C">
        <w:tc>
          <w:tcPr>
            <w:tcW w:w="777" w:type="pct"/>
            <w:shd w:val="clear" w:color="auto" w:fill="F2F2F2" w:themeFill="background1" w:themeFillShade="F2"/>
            <w:vAlign w:val="center"/>
          </w:tcPr>
          <w:p w14:paraId="3F1122B7" w14:textId="2E59E57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B_W74_UMW</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59434C">
        <w:tc>
          <w:tcPr>
            <w:tcW w:w="777" w:type="pct"/>
            <w:shd w:val="clear" w:color="auto" w:fill="F2F2F2" w:themeFill="background1" w:themeFillShade="F2"/>
            <w:vAlign w:val="center"/>
          </w:tcPr>
          <w:p w14:paraId="02DDA8FC" w14:textId="1D1E4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B_W75_UMW</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59434C">
        <w:tc>
          <w:tcPr>
            <w:tcW w:w="777" w:type="pct"/>
            <w:shd w:val="clear" w:color="auto" w:fill="F2F2F2" w:themeFill="background1" w:themeFillShade="F2"/>
            <w:vAlign w:val="center"/>
          </w:tcPr>
          <w:p w14:paraId="33A760B8" w14:textId="778974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B_W76_UMW</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59434C">
        <w:tc>
          <w:tcPr>
            <w:tcW w:w="777" w:type="pct"/>
            <w:shd w:val="clear" w:color="auto" w:fill="F2F2F2" w:themeFill="background1" w:themeFillShade="F2"/>
            <w:vAlign w:val="center"/>
          </w:tcPr>
          <w:p w14:paraId="11C76A7F" w14:textId="3518726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w:t>
            </w:r>
            <w:r w:rsidR="00523094">
              <w:rPr>
                <w:rFonts w:asciiTheme="minorHAnsi" w:hAnsiTheme="minorHAnsi" w:cstheme="minorHAnsi"/>
                <w:b/>
                <w:color w:val="000000"/>
              </w:rPr>
              <w:t>7</w:t>
            </w:r>
            <w:r w:rsidRPr="00984ECC">
              <w:rPr>
                <w:rFonts w:asciiTheme="minorHAnsi" w:hAnsiTheme="minorHAnsi" w:cstheme="minorHAnsi"/>
                <w:b/>
                <w:color w:val="000000"/>
              </w:rPr>
              <w:t>_UMW</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59434C">
        <w:tc>
          <w:tcPr>
            <w:tcW w:w="777" w:type="pct"/>
            <w:shd w:val="clear" w:color="auto" w:fill="auto"/>
            <w:vAlign w:val="center"/>
          </w:tcPr>
          <w:p w14:paraId="2461CF4C" w14:textId="411BA6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C_W01</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59434C">
        <w:tc>
          <w:tcPr>
            <w:tcW w:w="777" w:type="pct"/>
            <w:shd w:val="clear" w:color="auto" w:fill="auto"/>
            <w:vAlign w:val="center"/>
          </w:tcPr>
          <w:p w14:paraId="24779C18" w14:textId="5AFDA70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C_W02</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59434C">
        <w:tc>
          <w:tcPr>
            <w:tcW w:w="777" w:type="pct"/>
            <w:shd w:val="clear" w:color="auto" w:fill="auto"/>
            <w:vAlign w:val="center"/>
          </w:tcPr>
          <w:p w14:paraId="26FDEF8B" w14:textId="149810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C_W03</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59434C">
        <w:tc>
          <w:tcPr>
            <w:tcW w:w="777" w:type="pct"/>
            <w:shd w:val="clear" w:color="auto" w:fill="auto"/>
            <w:vAlign w:val="center"/>
          </w:tcPr>
          <w:p w14:paraId="19EED90B" w14:textId="676AA4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C_W04</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59434C">
        <w:tc>
          <w:tcPr>
            <w:tcW w:w="777" w:type="pct"/>
            <w:shd w:val="clear" w:color="auto" w:fill="auto"/>
            <w:vAlign w:val="center"/>
          </w:tcPr>
          <w:p w14:paraId="7B4AAD19" w14:textId="31399F8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C_W05</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59434C">
        <w:tc>
          <w:tcPr>
            <w:tcW w:w="777" w:type="pct"/>
            <w:shd w:val="clear" w:color="auto" w:fill="auto"/>
            <w:vAlign w:val="center"/>
          </w:tcPr>
          <w:p w14:paraId="7476BD68" w14:textId="0C494B1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C_W06</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59434C">
        <w:tc>
          <w:tcPr>
            <w:tcW w:w="777" w:type="pct"/>
            <w:shd w:val="clear" w:color="auto" w:fill="auto"/>
            <w:vAlign w:val="center"/>
          </w:tcPr>
          <w:p w14:paraId="3B96411A" w14:textId="652EF5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C_W07</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59434C">
        <w:tc>
          <w:tcPr>
            <w:tcW w:w="777" w:type="pct"/>
            <w:shd w:val="clear" w:color="auto" w:fill="auto"/>
            <w:vAlign w:val="center"/>
          </w:tcPr>
          <w:p w14:paraId="018A4E98" w14:textId="7D2DE68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C_W08</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59434C">
        <w:tc>
          <w:tcPr>
            <w:tcW w:w="777" w:type="pct"/>
            <w:shd w:val="clear" w:color="auto" w:fill="auto"/>
            <w:vAlign w:val="center"/>
          </w:tcPr>
          <w:p w14:paraId="65C3850A" w14:textId="505A16A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C_W09</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59434C">
        <w:tc>
          <w:tcPr>
            <w:tcW w:w="777" w:type="pct"/>
            <w:shd w:val="clear" w:color="auto" w:fill="auto"/>
            <w:vAlign w:val="center"/>
          </w:tcPr>
          <w:p w14:paraId="79D6EFD0" w14:textId="08D362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C_W10</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59434C">
        <w:tc>
          <w:tcPr>
            <w:tcW w:w="777" w:type="pct"/>
            <w:shd w:val="clear" w:color="auto" w:fill="auto"/>
            <w:vAlign w:val="center"/>
          </w:tcPr>
          <w:p w14:paraId="48A0559B" w14:textId="328B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C_W11</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r w:rsidRPr="00984ECC">
              <w:rPr>
                <w:rFonts w:asciiTheme="minorHAnsi" w:eastAsia="Times New Roman" w:hAnsiTheme="minorHAnsi" w:cstheme="minorHAnsi"/>
                <w:i/>
              </w:rPr>
              <w:t>Evidence Based Midwifery Practice</w:t>
            </w:r>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59434C">
        <w:tc>
          <w:tcPr>
            <w:tcW w:w="777" w:type="pct"/>
            <w:shd w:val="clear" w:color="auto" w:fill="auto"/>
            <w:vAlign w:val="center"/>
          </w:tcPr>
          <w:p w14:paraId="41272E6F" w14:textId="4CE9BF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C_W12</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59434C">
        <w:tc>
          <w:tcPr>
            <w:tcW w:w="777" w:type="pct"/>
            <w:shd w:val="clear" w:color="auto" w:fill="auto"/>
            <w:vAlign w:val="center"/>
          </w:tcPr>
          <w:p w14:paraId="22F57487" w14:textId="454166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C_W13</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59434C">
        <w:tc>
          <w:tcPr>
            <w:tcW w:w="777" w:type="pct"/>
            <w:shd w:val="clear" w:color="auto" w:fill="auto"/>
            <w:vAlign w:val="center"/>
          </w:tcPr>
          <w:p w14:paraId="60CFBE54" w14:textId="068D861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C_W14</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59434C">
        <w:tc>
          <w:tcPr>
            <w:tcW w:w="777" w:type="pct"/>
            <w:shd w:val="clear" w:color="auto" w:fill="auto"/>
            <w:vAlign w:val="center"/>
          </w:tcPr>
          <w:p w14:paraId="532F6675" w14:textId="78C105E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C_W15</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59434C">
        <w:tc>
          <w:tcPr>
            <w:tcW w:w="777" w:type="pct"/>
            <w:shd w:val="clear" w:color="auto" w:fill="auto"/>
            <w:vAlign w:val="center"/>
          </w:tcPr>
          <w:p w14:paraId="69AC9BB8" w14:textId="11199A3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C_W16</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59434C">
        <w:tc>
          <w:tcPr>
            <w:tcW w:w="777" w:type="pct"/>
            <w:shd w:val="clear" w:color="auto" w:fill="auto"/>
            <w:vAlign w:val="center"/>
          </w:tcPr>
          <w:p w14:paraId="528A62B1" w14:textId="293CCB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C_W17</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59434C">
        <w:tc>
          <w:tcPr>
            <w:tcW w:w="777" w:type="pct"/>
            <w:shd w:val="clear" w:color="auto" w:fill="auto"/>
            <w:vAlign w:val="center"/>
          </w:tcPr>
          <w:p w14:paraId="22F00AE7" w14:textId="6507F5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C_W18</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59434C">
        <w:tc>
          <w:tcPr>
            <w:tcW w:w="777" w:type="pct"/>
            <w:shd w:val="clear" w:color="auto" w:fill="auto"/>
            <w:vAlign w:val="center"/>
          </w:tcPr>
          <w:p w14:paraId="14899AB5" w14:textId="041A1BB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C_W19</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59434C">
        <w:tc>
          <w:tcPr>
            <w:tcW w:w="777" w:type="pct"/>
            <w:shd w:val="clear" w:color="auto" w:fill="auto"/>
            <w:vAlign w:val="center"/>
          </w:tcPr>
          <w:p w14:paraId="633F6F7A" w14:textId="15DB38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C_W20</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59434C">
        <w:tc>
          <w:tcPr>
            <w:tcW w:w="777" w:type="pct"/>
            <w:shd w:val="clear" w:color="auto" w:fill="auto"/>
            <w:vAlign w:val="center"/>
          </w:tcPr>
          <w:p w14:paraId="367BC442" w14:textId="1B7879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C_W21</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International Confederation of Midwives</w:t>
            </w:r>
            <w:r w:rsidRPr="00984ECC">
              <w:rPr>
                <w:rFonts w:asciiTheme="minorHAnsi" w:eastAsia="Times New Roman" w:hAnsiTheme="minorHAnsi" w:cstheme="minorHAnsi"/>
              </w:rPr>
              <w:t>, ICM), Europejskiego Stowarzyszenia Położnych (</w:t>
            </w:r>
            <w:r w:rsidRPr="00984ECC">
              <w:rPr>
                <w:rFonts w:asciiTheme="minorHAnsi" w:eastAsia="Times New Roman" w:hAnsiTheme="minorHAnsi" w:cstheme="minorHAnsi"/>
                <w:i/>
              </w:rPr>
              <w:t>European Midwives Associattion</w:t>
            </w:r>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59434C">
        <w:tc>
          <w:tcPr>
            <w:tcW w:w="777" w:type="pct"/>
            <w:shd w:val="clear" w:color="auto" w:fill="auto"/>
            <w:vAlign w:val="center"/>
          </w:tcPr>
          <w:p w14:paraId="625415E8" w14:textId="0ED5490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C_W22</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World Health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59434C">
        <w:tc>
          <w:tcPr>
            <w:tcW w:w="777" w:type="pct"/>
            <w:tcBorders>
              <w:bottom w:val="single" w:sz="4" w:space="0" w:color="auto"/>
            </w:tcBorders>
            <w:shd w:val="clear" w:color="auto" w:fill="auto"/>
            <w:vAlign w:val="center"/>
          </w:tcPr>
          <w:p w14:paraId="343A39DC" w14:textId="46E60EA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A_U01</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59434C">
        <w:tc>
          <w:tcPr>
            <w:tcW w:w="777" w:type="pct"/>
            <w:tcBorders>
              <w:bottom w:val="single" w:sz="4" w:space="0" w:color="auto"/>
            </w:tcBorders>
            <w:shd w:val="clear" w:color="auto" w:fill="auto"/>
            <w:vAlign w:val="center"/>
          </w:tcPr>
          <w:p w14:paraId="3B5AE38C" w14:textId="2EB4DC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A_U02</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59434C">
        <w:tc>
          <w:tcPr>
            <w:tcW w:w="777" w:type="pct"/>
            <w:tcBorders>
              <w:bottom w:val="single" w:sz="4" w:space="0" w:color="auto"/>
            </w:tcBorders>
            <w:shd w:val="clear" w:color="auto" w:fill="auto"/>
            <w:vAlign w:val="center"/>
          </w:tcPr>
          <w:p w14:paraId="27699A3F" w14:textId="7EA744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A_U03</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59434C">
        <w:tc>
          <w:tcPr>
            <w:tcW w:w="777" w:type="pct"/>
            <w:tcBorders>
              <w:bottom w:val="single" w:sz="4" w:space="0" w:color="auto"/>
            </w:tcBorders>
            <w:shd w:val="clear" w:color="auto" w:fill="auto"/>
            <w:vAlign w:val="center"/>
          </w:tcPr>
          <w:p w14:paraId="6560CA8C" w14:textId="6614FD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A_U04</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59434C">
        <w:tc>
          <w:tcPr>
            <w:tcW w:w="777" w:type="pct"/>
            <w:tcBorders>
              <w:bottom w:val="single" w:sz="4" w:space="0" w:color="auto"/>
            </w:tcBorders>
            <w:shd w:val="clear" w:color="auto" w:fill="auto"/>
            <w:vAlign w:val="center"/>
          </w:tcPr>
          <w:p w14:paraId="7FA51431" w14:textId="770239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A_U05</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59434C">
        <w:tc>
          <w:tcPr>
            <w:tcW w:w="777" w:type="pct"/>
            <w:tcBorders>
              <w:bottom w:val="single" w:sz="4" w:space="0" w:color="auto"/>
            </w:tcBorders>
            <w:shd w:val="clear" w:color="auto" w:fill="auto"/>
            <w:vAlign w:val="center"/>
          </w:tcPr>
          <w:p w14:paraId="24764E11" w14:textId="4A076D5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A_U06</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59434C">
        <w:tc>
          <w:tcPr>
            <w:tcW w:w="777" w:type="pct"/>
            <w:tcBorders>
              <w:bottom w:val="single" w:sz="4" w:space="0" w:color="auto"/>
            </w:tcBorders>
            <w:shd w:val="clear" w:color="auto" w:fill="auto"/>
            <w:vAlign w:val="center"/>
          </w:tcPr>
          <w:p w14:paraId="11F69560" w14:textId="381223C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A_U07</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59434C">
        <w:tc>
          <w:tcPr>
            <w:tcW w:w="777" w:type="pct"/>
            <w:tcBorders>
              <w:bottom w:val="single" w:sz="4" w:space="0" w:color="auto"/>
            </w:tcBorders>
            <w:shd w:val="clear" w:color="auto" w:fill="auto"/>
            <w:vAlign w:val="center"/>
          </w:tcPr>
          <w:p w14:paraId="75DFF3E0" w14:textId="49CC4F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A_U08</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59434C">
        <w:tc>
          <w:tcPr>
            <w:tcW w:w="777" w:type="pct"/>
            <w:tcBorders>
              <w:bottom w:val="single" w:sz="4" w:space="0" w:color="auto"/>
            </w:tcBorders>
            <w:shd w:val="clear" w:color="auto" w:fill="auto"/>
            <w:vAlign w:val="center"/>
          </w:tcPr>
          <w:p w14:paraId="503E6D2E" w14:textId="69992B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A_U09</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59434C">
        <w:tc>
          <w:tcPr>
            <w:tcW w:w="777" w:type="pct"/>
            <w:tcBorders>
              <w:bottom w:val="single" w:sz="4" w:space="0" w:color="auto"/>
            </w:tcBorders>
            <w:shd w:val="clear" w:color="auto" w:fill="auto"/>
            <w:vAlign w:val="center"/>
          </w:tcPr>
          <w:p w14:paraId="73C0C95A" w14:textId="6C10072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A_U10</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59434C">
        <w:tc>
          <w:tcPr>
            <w:tcW w:w="777" w:type="pct"/>
            <w:tcBorders>
              <w:bottom w:val="single" w:sz="4" w:space="0" w:color="auto"/>
            </w:tcBorders>
            <w:shd w:val="clear" w:color="auto" w:fill="auto"/>
            <w:vAlign w:val="center"/>
          </w:tcPr>
          <w:p w14:paraId="4B4B277B" w14:textId="3C8F547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A_U11</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59434C">
        <w:tc>
          <w:tcPr>
            <w:tcW w:w="777" w:type="pct"/>
            <w:tcBorders>
              <w:bottom w:val="single" w:sz="4" w:space="0" w:color="auto"/>
            </w:tcBorders>
            <w:shd w:val="clear" w:color="auto" w:fill="auto"/>
            <w:vAlign w:val="center"/>
          </w:tcPr>
          <w:p w14:paraId="3A16D808" w14:textId="5816AB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A_U12</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59434C">
        <w:tc>
          <w:tcPr>
            <w:tcW w:w="777" w:type="pct"/>
            <w:tcBorders>
              <w:bottom w:val="single" w:sz="4" w:space="0" w:color="auto"/>
            </w:tcBorders>
            <w:shd w:val="clear" w:color="auto" w:fill="auto"/>
            <w:vAlign w:val="center"/>
          </w:tcPr>
          <w:p w14:paraId="395F77D5" w14:textId="076E28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A_U13</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59434C">
        <w:tc>
          <w:tcPr>
            <w:tcW w:w="777" w:type="pct"/>
            <w:tcBorders>
              <w:bottom w:val="single" w:sz="4" w:space="0" w:color="auto"/>
            </w:tcBorders>
            <w:shd w:val="clear" w:color="auto" w:fill="auto"/>
            <w:vAlign w:val="center"/>
          </w:tcPr>
          <w:p w14:paraId="159AB796" w14:textId="2468E6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A_U14</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59434C">
        <w:tc>
          <w:tcPr>
            <w:tcW w:w="777" w:type="pct"/>
            <w:tcBorders>
              <w:bottom w:val="single" w:sz="4" w:space="0" w:color="auto"/>
            </w:tcBorders>
            <w:shd w:val="clear" w:color="auto" w:fill="auto"/>
            <w:vAlign w:val="center"/>
          </w:tcPr>
          <w:p w14:paraId="0C60C2D3" w14:textId="4978E31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A_U15</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59434C">
        <w:tc>
          <w:tcPr>
            <w:tcW w:w="777" w:type="pct"/>
            <w:tcBorders>
              <w:bottom w:val="single" w:sz="4" w:space="0" w:color="auto"/>
            </w:tcBorders>
            <w:shd w:val="clear" w:color="auto" w:fill="auto"/>
            <w:vAlign w:val="center"/>
          </w:tcPr>
          <w:p w14:paraId="48B57230" w14:textId="4AB5B0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A_U16</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59434C">
        <w:tc>
          <w:tcPr>
            <w:tcW w:w="777" w:type="pct"/>
            <w:tcBorders>
              <w:bottom w:val="single" w:sz="4" w:space="0" w:color="auto"/>
            </w:tcBorders>
            <w:shd w:val="clear" w:color="auto" w:fill="auto"/>
            <w:vAlign w:val="center"/>
          </w:tcPr>
          <w:p w14:paraId="7B4F6A9F" w14:textId="2D79C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A_U17</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59434C">
        <w:tc>
          <w:tcPr>
            <w:tcW w:w="777" w:type="pct"/>
            <w:tcBorders>
              <w:bottom w:val="single" w:sz="4" w:space="0" w:color="auto"/>
            </w:tcBorders>
            <w:shd w:val="clear" w:color="auto" w:fill="auto"/>
            <w:vAlign w:val="center"/>
          </w:tcPr>
          <w:p w14:paraId="2B6F5AF9" w14:textId="2326AE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A_U18</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59434C">
        <w:tc>
          <w:tcPr>
            <w:tcW w:w="777" w:type="pct"/>
            <w:tcBorders>
              <w:bottom w:val="single" w:sz="4" w:space="0" w:color="auto"/>
            </w:tcBorders>
            <w:shd w:val="clear" w:color="auto" w:fill="auto"/>
            <w:vAlign w:val="center"/>
          </w:tcPr>
          <w:p w14:paraId="5822B972" w14:textId="622B1B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A_U19</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59434C">
        <w:tc>
          <w:tcPr>
            <w:tcW w:w="777" w:type="pct"/>
            <w:tcBorders>
              <w:bottom w:val="single" w:sz="4" w:space="0" w:color="auto"/>
            </w:tcBorders>
            <w:shd w:val="clear" w:color="auto" w:fill="auto"/>
            <w:vAlign w:val="center"/>
          </w:tcPr>
          <w:p w14:paraId="695AE367" w14:textId="2AEA24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A_U20</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59434C">
        <w:tc>
          <w:tcPr>
            <w:tcW w:w="777" w:type="pct"/>
            <w:tcBorders>
              <w:bottom w:val="single" w:sz="4" w:space="0" w:color="auto"/>
            </w:tcBorders>
            <w:shd w:val="clear" w:color="auto" w:fill="F2F2F2" w:themeFill="background1" w:themeFillShade="F2"/>
            <w:vAlign w:val="center"/>
          </w:tcPr>
          <w:p w14:paraId="7BA46EA3" w14:textId="19E8502D" w:rsidR="008B19DA" w:rsidRPr="00984ECC" w:rsidRDefault="008B19DA" w:rsidP="0059434C">
            <w:pPr>
              <w:rPr>
                <w:rFonts w:asciiTheme="minorHAnsi" w:hAnsiTheme="minorHAnsi" w:cstheme="minorHAnsi"/>
                <w:b/>
                <w:color w:val="000000"/>
              </w:rPr>
            </w:pPr>
            <w:r w:rsidRPr="00984ECC">
              <w:rPr>
                <w:rFonts w:asciiTheme="minorHAnsi" w:hAnsiTheme="minorHAnsi" w:cstheme="minorHAnsi"/>
                <w:b/>
                <w:color w:val="000000"/>
              </w:rPr>
              <w:t>A_U21_UMW</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59434C">
        <w:tc>
          <w:tcPr>
            <w:tcW w:w="777" w:type="pct"/>
            <w:tcBorders>
              <w:bottom w:val="single" w:sz="4" w:space="0" w:color="auto"/>
            </w:tcBorders>
            <w:shd w:val="clear" w:color="auto" w:fill="auto"/>
            <w:vAlign w:val="center"/>
          </w:tcPr>
          <w:p w14:paraId="2A539834" w14:textId="063B1A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B_U01</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59434C">
        <w:tc>
          <w:tcPr>
            <w:tcW w:w="777" w:type="pct"/>
            <w:tcBorders>
              <w:bottom w:val="single" w:sz="4" w:space="0" w:color="auto"/>
            </w:tcBorders>
            <w:shd w:val="clear" w:color="auto" w:fill="auto"/>
            <w:vAlign w:val="center"/>
          </w:tcPr>
          <w:p w14:paraId="43915BA6" w14:textId="16ACD1E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B_U02</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59434C">
        <w:tc>
          <w:tcPr>
            <w:tcW w:w="777" w:type="pct"/>
            <w:tcBorders>
              <w:bottom w:val="single" w:sz="4" w:space="0" w:color="auto"/>
            </w:tcBorders>
            <w:shd w:val="clear" w:color="auto" w:fill="auto"/>
            <w:vAlign w:val="center"/>
          </w:tcPr>
          <w:p w14:paraId="76C5F1BA" w14:textId="011E36A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B_U03</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59434C">
        <w:tc>
          <w:tcPr>
            <w:tcW w:w="777" w:type="pct"/>
            <w:tcBorders>
              <w:bottom w:val="single" w:sz="4" w:space="0" w:color="auto"/>
            </w:tcBorders>
            <w:shd w:val="clear" w:color="auto" w:fill="auto"/>
            <w:vAlign w:val="center"/>
          </w:tcPr>
          <w:p w14:paraId="09136496" w14:textId="007F42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B_U04</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59434C">
        <w:tc>
          <w:tcPr>
            <w:tcW w:w="777" w:type="pct"/>
            <w:tcBorders>
              <w:bottom w:val="single" w:sz="4" w:space="0" w:color="auto"/>
            </w:tcBorders>
            <w:shd w:val="clear" w:color="auto" w:fill="auto"/>
            <w:vAlign w:val="center"/>
          </w:tcPr>
          <w:p w14:paraId="7448A94D" w14:textId="5AE55AE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B_U05</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rozpoznawać zjawisko i skutki polifarmakoterapii i polipragmazji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59434C">
        <w:tc>
          <w:tcPr>
            <w:tcW w:w="777" w:type="pct"/>
            <w:tcBorders>
              <w:bottom w:val="single" w:sz="4" w:space="0" w:color="auto"/>
            </w:tcBorders>
            <w:shd w:val="clear" w:color="auto" w:fill="auto"/>
            <w:vAlign w:val="center"/>
          </w:tcPr>
          <w:p w14:paraId="4AEB2875" w14:textId="60E7EE8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B_U06</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59434C">
        <w:tc>
          <w:tcPr>
            <w:tcW w:w="777" w:type="pct"/>
            <w:tcBorders>
              <w:bottom w:val="single" w:sz="4" w:space="0" w:color="auto"/>
            </w:tcBorders>
            <w:shd w:val="clear" w:color="auto" w:fill="auto"/>
            <w:vAlign w:val="center"/>
          </w:tcPr>
          <w:p w14:paraId="7E3A1A7A" w14:textId="246D262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B_U07</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59434C">
        <w:tc>
          <w:tcPr>
            <w:tcW w:w="777" w:type="pct"/>
            <w:tcBorders>
              <w:bottom w:val="single" w:sz="4" w:space="0" w:color="auto"/>
            </w:tcBorders>
            <w:shd w:val="clear" w:color="auto" w:fill="auto"/>
            <w:vAlign w:val="center"/>
          </w:tcPr>
          <w:p w14:paraId="75E27F0E" w14:textId="49EBEC5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B_U08</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59434C">
        <w:tc>
          <w:tcPr>
            <w:tcW w:w="777" w:type="pct"/>
            <w:tcBorders>
              <w:bottom w:val="single" w:sz="4" w:space="0" w:color="auto"/>
            </w:tcBorders>
            <w:shd w:val="clear" w:color="auto" w:fill="auto"/>
            <w:vAlign w:val="center"/>
          </w:tcPr>
          <w:p w14:paraId="351A2906" w14:textId="0C949E7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B_U09</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59434C">
        <w:tc>
          <w:tcPr>
            <w:tcW w:w="777" w:type="pct"/>
            <w:tcBorders>
              <w:bottom w:val="single" w:sz="4" w:space="0" w:color="auto"/>
            </w:tcBorders>
            <w:shd w:val="clear" w:color="auto" w:fill="auto"/>
            <w:vAlign w:val="center"/>
          </w:tcPr>
          <w:p w14:paraId="74DF497C" w14:textId="03B6B2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B_U10</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59434C">
        <w:tc>
          <w:tcPr>
            <w:tcW w:w="777" w:type="pct"/>
            <w:tcBorders>
              <w:bottom w:val="single" w:sz="4" w:space="0" w:color="auto"/>
            </w:tcBorders>
            <w:shd w:val="clear" w:color="auto" w:fill="auto"/>
            <w:vAlign w:val="center"/>
          </w:tcPr>
          <w:p w14:paraId="0B65D441" w14:textId="6E605D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B_U11</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59434C">
        <w:tc>
          <w:tcPr>
            <w:tcW w:w="777" w:type="pct"/>
            <w:tcBorders>
              <w:bottom w:val="single" w:sz="4" w:space="0" w:color="auto"/>
            </w:tcBorders>
            <w:shd w:val="clear" w:color="auto" w:fill="auto"/>
            <w:vAlign w:val="center"/>
          </w:tcPr>
          <w:p w14:paraId="301B4649" w14:textId="5EA94A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B_U12</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nasilenie bólu u noworodka oraz stosować zasady postępowania przeciwbólowego i sedacyjnego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59434C">
        <w:tc>
          <w:tcPr>
            <w:tcW w:w="777" w:type="pct"/>
            <w:tcBorders>
              <w:bottom w:val="single" w:sz="4" w:space="0" w:color="auto"/>
            </w:tcBorders>
            <w:shd w:val="clear" w:color="auto" w:fill="auto"/>
            <w:vAlign w:val="center"/>
          </w:tcPr>
          <w:p w14:paraId="06E102F0" w14:textId="2D4E8A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B_U13</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59434C">
        <w:tc>
          <w:tcPr>
            <w:tcW w:w="777" w:type="pct"/>
            <w:tcBorders>
              <w:bottom w:val="single" w:sz="4" w:space="0" w:color="auto"/>
            </w:tcBorders>
            <w:shd w:val="clear" w:color="auto" w:fill="auto"/>
            <w:vAlign w:val="center"/>
          </w:tcPr>
          <w:p w14:paraId="40AA9892" w14:textId="7D638B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B_U14</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59434C">
        <w:tc>
          <w:tcPr>
            <w:tcW w:w="777" w:type="pct"/>
            <w:tcBorders>
              <w:bottom w:val="single" w:sz="4" w:space="0" w:color="auto"/>
            </w:tcBorders>
            <w:shd w:val="clear" w:color="auto" w:fill="auto"/>
            <w:vAlign w:val="center"/>
          </w:tcPr>
          <w:p w14:paraId="0B8351C3" w14:textId="63DFDA8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B_U15</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59434C">
        <w:tc>
          <w:tcPr>
            <w:tcW w:w="777" w:type="pct"/>
            <w:tcBorders>
              <w:bottom w:val="single" w:sz="4" w:space="0" w:color="auto"/>
            </w:tcBorders>
            <w:shd w:val="clear" w:color="auto" w:fill="auto"/>
            <w:vAlign w:val="center"/>
          </w:tcPr>
          <w:p w14:paraId="35F35BDA" w14:textId="354F0D3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B_U16</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(PTGiP) w zakresie przesiewowej diagnostyki ultrasonograficznej w ginekologii u kobiet w wieku rozwojowym (badanie przez powłoki brzuszne lub przezodbytnicze), rozrodczym, okołomenopauzalnym i pomenopauzalnym</w:t>
            </w:r>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59434C">
        <w:tc>
          <w:tcPr>
            <w:tcW w:w="777" w:type="pct"/>
            <w:tcBorders>
              <w:bottom w:val="single" w:sz="4" w:space="0" w:color="auto"/>
            </w:tcBorders>
            <w:shd w:val="clear" w:color="auto" w:fill="auto"/>
            <w:vAlign w:val="center"/>
          </w:tcPr>
          <w:p w14:paraId="770ECE0B" w14:textId="050847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B_U17</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i rozróżniać obrazy badania USG w przypadku ciąży ektopowej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59434C">
        <w:tc>
          <w:tcPr>
            <w:tcW w:w="777" w:type="pct"/>
            <w:tcBorders>
              <w:bottom w:val="single" w:sz="4" w:space="0" w:color="auto"/>
            </w:tcBorders>
            <w:shd w:val="clear" w:color="auto" w:fill="auto"/>
            <w:vAlign w:val="center"/>
          </w:tcPr>
          <w:p w14:paraId="5D2A6380" w14:textId="710C004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B_U18</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59434C">
        <w:tc>
          <w:tcPr>
            <w:tcW w:w="777" w:type="pct"/>
            <w:tcBorders>
              <w:bottom w:val="single" w:sz="4" w:space="0" w:color="auto"/>
            </w:tcBorders>
            <w:shd w:val="clear" w:color="auto" w:fill="auto"/>
            <w:vAlign w:val="center"/>
          </w:tcPr>
          <w:p w14:paraId="7C3CFF95" w14:textId="6DA732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B_U19</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59434C">
        <w:tc>
          <w:tcPr>
            <w:tcW w:w="777" w:type="pct"/>
            <w:tcBorders>
              <w:bottom w:val="single" w:sz="4" w:space="0" w:color="auto"/>
            </w:tcBorders>
            <w:shd w:val="clear" w:color="auto" w:fill="auto"/>
            <w:vAlign w:val="center"/>
          </w:tcPr>
          <w:p w14:paraId="63EDCBDC" w14:textId="7864F21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B_U20</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59434C">
        <w:tc>
          <w:tcPr>
            <w:tcW w:w="777" w:type="pct"/>
            <w:tcBorders>
              <w:bottom w:val="single" w:sz="4" w:space="0" w:color="auto"/>
            </w:tcBorders>
            <w:shd w:val="clear" w:color="auto" w:fill="auto"/>
            <w:vAlign w:val="center"/>
          </w:tcPr>
          <w:p w14:paraId="3DF6B213" w14:textId="54A4A0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B_U21</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59434C">
        <w:tc>
          <w:tcPr>
            <w:tcW w:w="777" w:type="pct"/>
            <w:tcBorders>
              <w:bottom w:val="single" w:sz="4" w:space="0" w:color="auto"/>
            </w:tcBorders>
            <w:shd w:val="clear" w:color="auto" w:fill="auto"/>
            <w:vAlign w:val="center"/>
          </w:tcPr>
          <w:p w14:paraId="7D46BE7F" w14:textId="2BF6150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B_U22</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59434C">
        <w:tc>
          <w:tcPr>
            <w:tcW w:w="777" w:type="pct"/>
            <w:tcBorders>
              <w:bottom w:val="single" w:sz="4" w:space="0" w:color="auto"/>
            </w:tcBorders>
            <w:shd w:val="clear" w:color="auto" w:fill="auto"/>
            <w:vAlign w:val="center"/>
          </w:tcPr>
          <w:p w14:paraId="41950ECC" w14:textId="3CC993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B_U23</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interpretować podstawowe wyniki badań USG z wykorzystaniem techniki przezpochwowej, przezodbytniczej i przezbrzusznej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59434C">
        <w:tc>
          <w:tcPr>
            <w:tcW w:w="777" w:type="pct"/>
            <w:tcBorders>
              <w:bottom w:val="single" w:sz="4" w:space="0" w:color="auto"/>
            </w:tcBorders>
            <w:shd w:val="clear" w:color="auto" w:fill="auto"/>
            <w:vAlign w:val="center"/>
          </w:tcPr>
          <w:p w14:paraId="1B3FAF8D" w14:textId="668C2C9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B_U24</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59434C">
        <w:tc>
          <w:tcPr>
            <w:tcW w:w="777" w:type="pct"/>
            <w:tcBorders>
              <w:bottom w:val="single" w:sz="4" w:space="0" w:color="auto"/>
            </w:tcBorders>
            <w:shd w:val="clear" w:color="auto" w:fill="auto"/>
            <w:vAlign w:val="center"/>
          </w:tcPr>
          <w:p w14:paraId="65E2B58A" w14:textId="3D396F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B_U25</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59434C">
        <w:tc>
          <w:tcPr>
            <w:tcW w:w="777" w:type="pct"/>
            <w:tcBorders>
              <w:bottom w:val="single" w:sz="4" w:space="0" w:color="auto"/>
            </w:tcBorders>
            <w:shd w:val="clear" w:color="auto" w:fill="auto"/>
            <w:vAlign w:val="center"/>
          </w:tcPr>
          <w:p w14:paraId="056009BC" w14:textId="6A5E034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B_U26</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sprawować opiekę nad pacjentką poddaną leczeniu różnymi metodami, w tym metodą brachyterapii lub teleterapii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59434C">
        <w:tc>
          <w:tcPr>
            <w:tcW w:w="777" w:type="pct"/>
            <w:tcBorders>
              <w:bottom w:val="single" w:sz="4" w:space="0" w:color="auto"/>
            </w:tcBorders>
            <w:shd w:val="clear" w:color="auto" w:fill="auto"/>
            <w:vAlign w:val="center"/>
          </w:tcPr>
          <w:p w14:paraId="3C533A1C" w14:textId="318959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B_U27</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59434C">
        <w:tc>
          <w:tcPr>
            <w:tcW w:w="777" w:type="pct"/>
            <w:tcBorders>
              <w:bottom w:val="single" w:sz="4" w:space="0" w:color="auto"/>
            </w:tcBorders>
            <w:shd w:val="clear" w:color="auto" w:fill="auto"/>
            <w:vAlign w:val="center"/>
          </w:tcPr>
          <w:p w14:paraId="1E542109" w14:textId="6649EB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B_U28</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59434C">
        <w:tc>
          <w:tcPr>
            <w:tcW w:w="777" w:type="pct"/>
            <w:tcBorders>
              <w:bottom w:val="single" w:sz="4" w:space="0" w:color="auto"/>
            </w:tcBorders>
            <w:shd w:val="clear" w:color="auto" w:fill="auto"/>
            <w:vAlign w:val="center"/>
          </w:tcPr>
          <w:p w14:paraId="37FE2525" w14:textId="2849B54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B_U29</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59434C">
        <w:tc>
          <w:tcPr>
            <w:tcW w:w="777" w:type="pct"/>
            <w:tcBorders>
              <w:bottom w:val="single" w:sz="4" w:space="0" w:color="auto"/>
            </w:tcBorders>
            <w:shd w:val="clear" w:color="auto" w:fill="auto"/>
            <w:vAlign w:val="center"/>
          </w:tcPr>
          <w:p w14:paraId="2339B062" w14:textId="5E6C2E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B_U30</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59434C">
        <w:tc>
          <w:tcPr>
            <w:tcW w:w="777" w:type="pct"/>
            <w:tcBorders>
              <w:bottom w:val="single" w:sz="4" w:space="0" w:color="auto"/>
            </w:tcBorders>
            <w:shd w:val="clear" w:color="auto" w:fill="auto"/>
            <w:vAlign w:val="center"/>
          </w:tcPr>
          <w:p w14:paraId="05B84F91" w14:textId="48224C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B_U31</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59434C">
        <w:tc>
          <w:tcPr>
            <w:tcW w:w="777" w:type="pct"/>
            <w:tcBorders>
              <w:bottom w:val="single" w:sz="4" w:space="0" w:color="auto"/>
            </w:tcBorders>
            <w:shd w:val="clear" w:color="auto" w:fill="auto"/>
            <w:vAlign w:val="center"/>
          </w:tcPr>
          <w:p w14:paraId="3A87A018" w14:textId="49B46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B_U32</w:t>
            </w:r>
          </w:p>
        </w:tc>
        <w:tc>
          <w:tcPr>
            <w:tcW w:w="3649" w:type="pct"/>
            <w:tcBorders>
              <w:bottom w:val="single" w:sz="4" w:space="0" w:color="auto"/>
            </w:tcBorders>
            <w:shd w:val="clear" w:color="auto" w:fill="auto"/>
            <w:vAlign w:val="center"/>
          </w:tcPr>
          <w:p w14:paraId="00159E7A" w14:textId="077119FC"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przygotować pacjentkę do życia z chorobą nowotworową i ograniczeniami wynikającymi z leczenia systemowego </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59434C">
        <w:tc>
          <w:tcPr>
            <w:tcW w:w="777" w:type="pct"/>
            <w:tcBorders>
              <w:bottom w:val="single" w:sz="4" w:space="0" w:color="auto"/>
            </w:tcBorders>
            <w:shd w:val="clear" w:color="auto" w:fill="auto"/>
            <w:vAlign w:val="center"/>
          </w:tcPr>
          <w:p w14:paraId="33EF14B1" w14:textId="727AF5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B_U33</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59434C">
        <w:tc>
          <w:tcPr>
            <w:tcW w:w="777" w:type="pct"/>
            <w:tcBorders>
              <w:bottom w:val="single" w:sz="4" w:space="0" w:color="auto"/>
            </w:tcBorders>
            <w:shd w:val="clear" w:color="auto" w:fill="auto"/>
            <w:vAlign w:val="center"/>
          </w:tcPr>
          <w:p w14:paraId="6D9D1042" w14:textId="36262CF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B_U34</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59434C">
        <w:tc>
          <w:tcPr>
            <w:tcW w:w="777" w:type="pct"/>
            <w:tcBorders>
              <w:bottom w:val="single" w:sz="4" w:space="0" w:color="auto"/>
            </w:tcBorders>
            <w:shd w:val="clear" w:color="auto" w:fill="auto"/>
            <w:vAlign w:val="center"/>
          </w:tcPr>
          <w:p w14:paraId="12EA0B50" w14:textId="475491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B_U35</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59434C">
        <w:tc>
          <w:tcPr>
            <w:tcW w:w="777" w:type="pct"/>
            <w:tcBorders>
              <w:bottom w:val="single" w:sz="4" w:space="0" w:color="auto"/>
            </w:tcBorders>
            <w:shd w:val="clear" w:color="auto" w:fill="auto"/>
            <w:vAlign w:val="center"/>
          </w:tcPr>
          <w:p w14:paraId="61760C9F" w14:textId="2410A1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B_U36</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59434C">
        <w:tc>
          <w:tcPr>
            <w:tcW w:w="777" w:type="pct"/>
            <w:tcBorders>
              <w:bottom w:val="single" w:sz="4" w:space="0" w:color="auto"/>
            </w:tcBorders>
            <w:shd w:val="clear" w:color="auto" w:fill="auto"/>
            <w:vAlign w:val="center"/>
          </w:tcPr>
          <w:p w14:paraId="2D5A4681" w14:textId="2498AA5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B_U37</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59434C">
        <w:tc>
          <w:tcPr>
            <w:tcW w:w="777" w:type="pct"/>
            <w:tcBorders>
              <w:bottom w:val="single" w:sz="4" w:space="0" w:color="auto"/>
            </w:tcBorders>
            <w:shd w:val="clear" w:color="auto" w:fill="auto"/>
            <w:vAlign w:val="center"/>
          </w:tcPr>
          <w:p w14:paraId="1CAC6BBF" w14:textId="3CF170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B_U38</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59434C">
        <w:tc>
          <w:tcPr>
            <w:tcW w:w="777" w:type="pct"/>
            <w:tcBorders>
              <w:bottom w:val="single" w:sz="4" w:space="0" w:color="auto"/>
            </w:tcBorders>
            <w:shd w:val="clear" w:color="auto" w:fill="auto"/>
            <w:vAlign w:val="center"/>
          </w:tcPr>
          <w:p w14:paraId="6D72CE0F" w14:textId="0BCC43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B_U39</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59434C">
        <w:tc>
          <w:tcPr>
            <w:tcW w:w="777" w:type="pct"/>
            <w:tcBorders>
              <w:bottom w:val="single" w:sz="4" w:space="0" w:color="auto"/>
            </w:tcBorders>
            <w:shd w:val="clear" w:color="auto" w:fill="auto"/>
            <w:vAlign w:val="center"/>
          </w:tcPr>
          <w:p w14:paraId="2CFC1FC4" w14:textId="32A1AAA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B_U40</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59434C">
        <w:tc>
          <w:tcPr>
            <w:tcW w:w="777" w:type="pct"/>
            <w:tcBorders>
              <w:bottom w:val="single" w:sz="4" w:space="0" w:color="auto"/>
            </w:tcBorders>
            <w:shd w:val="clear" w:color="auto" w:fill="auto"/>
            <w:vAlign w:val="center"/>
          </w:tcPr>
          <w:p w14:paraId="006E095E" w14:textId="73AAD7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B_U41</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doradzać członkom zespołu interprofesjonalnego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59434C">
        <w:tc>
          <w:tcPr>
            <w:tcW w:w="777" w:type="pct"/>
            <w:tcBorders>
              <w:bottom w:val="single" w:sz="4" w:space="0" w:color="auto"/>
            </w:tcBorders>
            <w:shd w:val="clear" w:color="auto" w:fill="auto"/>
            <w:vAlign w:val="center"/>
          </w:tcPr>
          <w:p w14:paraId="7DE26D58" w14:textId="3CC89E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B_U42</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59434C">
        <w:tc>
          <w:tcPr>
            <w:tcW w:w="777" w:type="pct"/>
            <w:tcBorders>
              <w:bottom w:val="single" w:sz="4" w:space="0" w:color="auto"/>
            </w:tcBorders>
            <w:shd w:val="clear" w:color="auto" w:fill="auto"/>
            <w:vAlign w:val="center"/>
          </w:tcPr>
          <w:p w14:paraId="794ED7FC" w14:textId="5F10855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B_U43</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59434C">
        <w:tc>
          <w:tcPr>
            <w:tcW w:w="777" w:type="pct"/>
            <w:tcBorders>
              <w:bottom w:val="single" w:sz="4" w:space="0" w:color="auto"/>
            </w:tcBorders>
            <w:shd w:val="clear" w:color="auto" w:fill="auto"/>
            <w:vAlign w:val="center"/>
          </w:tcPr>
          <w:p w14:paraId="0D7751C7" w14:textId="465EC8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B_U44</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organizować i podejmować współpracę z członkami zespołu interprofesjonalnego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59434C">
        <w:tc>
          <w:tcPr>
            <w:tcW w:w="777" w:type="pct"/>
            <w:tcBorders>
              <w:bottom w:val="single" w:sz="4" w:space="0" w:color="auto"/>
            </w:tcBorders>
            <w:shd w:val="clear" w:color="auto" w:fill="auto"/>
            <w:vAlign w:val="center"/>
          </w:tcPr>
          <w:p w14:paraId="476BB765" w14:textId="080F44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B_U45</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rozpoznawać objawy współuzależnienia i wdrażać adekwatne postępowanie oraz sprawować opiekę w środowisku domowym nad kobietą w okresie prekoncepcyjnym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59434C">
        <w:tc>
          <w:tcPr>
            <w:tcW w:w="777" w:type="pct"/>
            <w:tcBorders>
              <w:bottom w:val="single" w:sz="4" w:space="0" w:color="auto"/>
            </w:tcBorders>
            <w:shd w:val="clear" w:color="auto" w:fill="auto"/>
            <w:vAlign w:val="center"/>
          </w:tcPr>
          <w:p w14:paraId="0D1CD352" w14:textId="7F93F9E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B_U46</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objawy zaburzeń odżywiania w okresie ciąży, w tym pregoreksji,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59434C">
        <w:tc>
          <w:tcPr>
            <w:tcW w:w="777" w:type="pct"/>
            <w:tcBorders>
              <w:bottom w:val="single" w:sz="4" w:space="0" w:color="auto"/>
            </w:tcBorders>
            <w:shd w:val="clear" w:color="auto" w:fill="auto"/>
            <w:vAlign w:val="center"/>
          </w:tcPr>
          <w:p w14:paraId="3CB84B8E" w14:textId="51D7B7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B_U47</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59434C">
        <w:tc>
          <w:tcPr>
            <w:tcW w:w="777" w:type="pct"/>
            <w:tcBorders>
              <w:bottom w:val="single" w:sz="4" w:space="0" w:color="auto"/>
            </w:tcBorders>
            <w:shd w:val="clear" w:color="auto" w:fill="auto"/>
            <w:vAlign w:val="center"/>
          </w:tcPr>
          <w:p w14:paraId="508ABE43" w14:textId="0DAD6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B_U48</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59434C">
        <w:tc>
          <w:tcPr>
            <w:tcW w:w="777" w:type="pct"/>
            <w:tcBorders>
              <w:bottom w:val="single" w:sz="4" w:space="0" w:color="auto"/>
            </w:tcBorders>
            <w:shd w:val="clear" w:color="auto" w:fill="auto"/>
            <w:vAlign w:val="center"/>
          </w:tcPr>
          <w:p w14:paraId="5E8604B9" w14:textId="67284F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B_U49</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59434C">
        <w:tc>
          <w:tcPr>
            <w:tcW w:w="777" w:type="pct"/>
            <w:tcBorders>
              <w:bottom w:val="single" w:sz="4" w:space="0" w:color="auto"/>
            </w:tcBorders>
            <w:shd w:val="clear" w:color="auto" w:fill="auto"/>
            <w:vAlign w:val="center"/>
          </w:tcPr>
          <w:p w14:paraId="40D31C40" w14:textId="36E407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B_U50</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bariatrycznej) oraz w przypadku relaktacji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59434C">
        <w:tc>
          <w:tcPr>
            <w:tcW w:w="777" w:type="pct"/>
            <w:tcBorders>
              <w:bottom w:val="single" w:sz="4" w:space="0" w:color="auto"/>
            </w:tcBorders>
            <w:shd w:val="clear" w:color="auto" w:fill="auto"/>
            <w:vAlign w:val="center"/>
          </w:tcPr>
          <w:p w14:paraId="13F0B891" w14:textId="244FFCB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B_U51</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59434C">
        <w:tc>
          <w:tcPr>
            <w:tcW w:w="777" w:type="pct"/>
            <w:tcBorders>
              <w:bottom w:val="single" w:sz="4" w:space="0" w:color="auto"/>
            </w:tcBorders>
            <w:shd w:val="clear" w:color="auto" w:fill="auto"/>
            <w:vAlign w:val="center"/>
          </w:tcPr>
          <w:p w14:paraId="68E0EDFD" w14:textId="0708A4B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B_U52</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poradnictwo w zakresie opieki prekoncepcyjnej,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59434C">
        <w:tc>
          <w:tcPr>
            <w:tcW w:w="777" w:type="pct"/>
            <w:tcBorders>
              <w:bottom w:val="single" w:sz="4" w:space="0" w:color="auto"/>
            </w:tcBorders>
            <w:shd w:val="clear" w:color="auto" w:fill="auto"/>
            <w:vAlign w:val="center"/>
          </w:tcPr>
          <w:p w14:paraId="2CEF47AE" w14:textId="09F748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B_U53</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59434C">
        <w:tc>
          <w:tcPr>
            <w:tcW w:w="777" w:type="pct"/>
            <w:tcBorders>
              <w:bottom w:val="single" w:sz="4" w:space="0" w:color="auto"/>
            </w:tcBorders>
            <w:shd w:val="clear" w:color="auto" w:fill="auto"/>
            <w:vAlign w:val="center"/>
          </w:tcPr>
          <w:p w14:paraId="3D69B07A" w14:textId="5A00341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B_U54</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czynniki ryzyka zaburzeń uroginekologicznych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59434C">
        <w:tc>
          <w:tcPr>
            <w:tcW w:w="777" w:type="pct"/>
            <w:tcBorders>
              <w:bottom w:val="single" w:sz="4" w:space="0" w:color="auto"/>
            </w:tcBorders>
            <w:shd w:val="clear" w:color="auto" w:fill="auto"/>
            <w:vAlign w:val="center"/>
          </w:tcPr>
          <w:p w14:paraId="4854A0EE" w14:textId="04DB29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B_U55</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interpretować wyniki badań diagnostycznych z zakresu uroginekologii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59434C">
        <w:tc>
          <w:tcPr>
            <w:tcW w:w="777" w:type="pct"/>
            <w:tcBorders>
              <w:bottom w:val="single" w:sz="4" w:space="0" w:color="auto"/>
            </w:tcBorders>
            <w:shd w:val="clear" w:color="auto" w:fill="auto"/>
            <w:vAlign w:val="center"/>
          </w:tcPr>
          <w:p w14:paraId="0CDD8679" w14:textId="3F1DA7C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B_U56</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59434C">
        <w:tc>
          <w:tcPr>
            <w:tcW w:w="777" w:type="pct"/>
            <w:tcBorders>
              <w:bottom w:val="single" w:sz="4" w:space="0" w:color="auto"/>
            </w:tcBorders>
            <w:shd w:val="clear" w:color="auto" w:fill="auto"/>
            <w:vAlign w:val="center"/>
          </w:tcPr>
          <w:p w14:paraId="53B0DA2D" w14:textId="670776C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B_U57</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59434C">
        <w:tc>
          <w:tcPr>
            <w:tcW w:w="777" w:type="pct"/>
            <w:tcBorders>
              <w:bottom w:val="single" w:sz="4" w:space="0" w:color="auto"/>
            </w:tcBorders>
            <w:shd w:val="clear" w:color="auto" w:fill="auto"/>
            <w:vAlign w:val="center"/>
          </w:tcPr>
          <w:p w14:paraId="06FA360C" w14:textId="2DD7DE0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B_U58</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podejmować działania w zakresie profilaktyki chorób ginekologicznych narządu rodnego w okresie klimakterium i senium</w:t>
            </w:r>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59434C">
        <w:tc>
          <w:tcPr>
            <w:tcW w:w="777" w:type="pct"/>
            <w:tcBorders>
              <w:bottom w:val="single" w:sz="4" w:space="0" w:color="auto"/>
            </w:tcBorders>
            <w:shd w:val="clear" w:color="auto" w:fill="auto"/>
            <w:vAlign w:val="center"/>
          </w:tcPr>
          <w:p w14:paraId="22BE0315" w14:textId="1DF7B4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B_U59</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59434C">
        <w:tc>
          <w:tcPr>
            <w:tcW w:w="777" w:type="pct"/>
            <w:tcBorders>
              <w:bottom w:val="single" w:sz="4" w:space="0" w:color="auto"/>
            </w:tcBorders>
            <w:shd w:val="clear" w:color="auto" w:fill="auto"/>
            <w:vAlign w:val="center"/>
          </w:tcPr>
          <w:p w14:paraId="68C7933C" w14:textId="20445E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B_U60</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59434C">
        <w:tc>
          <w:tcPr>
            <w:tcW w:w="777" w:type="pct"/>
            <w:tcBorders>
              <w:bottom w:val="single" w:sz="4" w:space="0" w:color="auto"/>
            </w:tcBorders>
            <w:shd w:val="clear" w:color="auto" w:fill="auto"/>
            <w:vAlign w:val="center"/>
          </w:tcPr>
          <w:p w14:paraId="27BB30F9" w14:textId="345F051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B_U61</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59434C">
        <w:tc>
          <w:tcPr>
            <w:tcW w:w="777" w:type="pct"/>
            <w:tcBorders>
              <w:bottom w:val="single" w:sz="4" w:space="0" w:color="auto"/>
            </w:tcBorders>
            <w:shd w:val="clear" w:color="auto" w:fill="F2F2F2" w:themeFill="background1" w:themeFillShade="F2"/>
            <w:vAlign w:val="center"/>
          </w:tcPr>
          <w:p w14:paraId="444D20F1" w14:textId="34EFDD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B_U62_FU</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59434C">
        <w:tc>
          <w:tcPr>
            <w:tcW w:w="777" w:type="pct"/>
            <w:tcBorders>
              <w:bottom w:val="single" w:sz="4" w:space="0" w:color="auto"/>
            </w:tcBorders>
            <w:shd w:val="clear" w:color="auto" w:fill="F2F2F2" w:themeFill="background1" w:themeFillShade="F2"/>
            <w:vAlign w:val="center"/>
          </w:tcPr>
          <w:p w14:paraId="69D1415C" w14:textId="37FB4BD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B_U63_FU</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59434C">
        <w:tc>
          <w:tcPr>
            <w:tcW w:w="777" w:type="pct"/>
            <w:tcBorders>
              <w:bottom w:val="single" w:sz="4" w:space="0" w:color="auto"/>
            </w:tcBorders>
            <w:shd w:val="clear" w:color="auto" w:fill="F2F2F2" w:themeFill="background1" w:themeFillShade="F2"/>
            <w:vAlign w:val="center"/>
          </w:tcPr>
          <w:p w14:paraId="3BF4BF79" w14:textId="0A2CF0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B_U64_FU</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59434C">
        <w:tc>
          <w:tcPr>
            <w:tcW w:w="777" w:type="pct"/>
            <w:tcBorders>
              <w:bottom w:val="single" w:sz="4" w:space="0" w:color="auto"/>
            </w:tcBorders>
            <w:shd w:val="clear" w:color="auto" w:fill="F2F2F2" w:themeFill="background1" w:themeFillShade="F2"/>
            <w:vAlign w:val="center"/>
          </w:tcPr>
          <w:p w14:paraId="58F0B77C" w14:textId="41AC4DA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B_U65_FU</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59434C">
        <w:tc>
          <w:tcPr>
            <w:tcW w:w="777" w:type="pct"/>
            <w:tcBorders>
              <w:bottom w:val="single" w:sz="4" w:space="0" w:color="auto"/>
            </w:tcBorders>
            <w:shd w:val="clear" w:color="auto" w:fill="F2F2F2" w:themeFill="background1" w:themeFillShade="F2"/>
            <w:vAlign w:val="center"/>
          </w:tcPr>
          <w:p w14:paraId="31C864A7" w14:textId="174033C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B_U66_UMW</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59434C">
        <w:tc>
          <w:tcPr>
            <w:tcW w:w="777" w:type="pct"/>
            <w:tcBorders>
              <w:bottom w:val="single" w:sz="4" w:space="0" w:color="auto"/>
            </w:tcBorders>
            <w:shd w:val="clear" w:color="auto" w:fill="F2F2F2" w:themeFill="background1" w:themeFillShade="F2"/>
            <w:vAlign w:val="center"/>
          </w:tcPr>
          <w:p w14:paraId="628EA06C" w14:textId="536F2B6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B_U67_UMW</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59434C">
        <w:tc>
          <w:tcPr>
            <w:tcW w:w="777" w:type="pct"/>
            <w:tcBorders>
              <w:bottom w:val="single" w:sz="4" w:space="0" w:color="auto"/>
            </w:tcBorders>
            <w:shd w:val="clear" w:color="auto" w:fill="F2F2F2" w:themeFill="background1" w:themeFillShade="F2"/>
            <w:vAlign w:val="center"/>
          </w:tcPr>
          <w:p w14:paraId="5E9D436E" w14:textId="783FE7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B_U68_UMW</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59434C">
        <w:tc>
          <w:tcPr>
            <w:tcW w:w="777" w:type="pct"/>
            <w:tcBorders>
              <w:bottom w:val="single" w:sz="4" w:space="0" w:color="auto"/>
            </w:tcBorders>
            <w:shd w:val="clear" w:color="auto" w:fill="F2F2F2" w:themeFill="background1" w:themeFillShade="F2"/>
            <w:vAlign w:val="center"/>
          </w:tcPr>
          <w:p w14:paraId="59D65503" w14:textId="5CDC83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B_U69_UMW</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59434C">
        <w:tc>
          <w:tcPr>
            <w:tcW w:w="777" w:type="pct"/>
            <w:tcBorders>
              <w:bottom w:val="single" w:sz="4" w:space="0" w:color="auto"/>
            </w:tcBorders>
            <w:shd w:val="clear" w:color="auto" w:fill="F2F2F2" w:themeFill="background1" w:themeFillShade="F2"/>
            <w:vAlign w:val="center"/>
          </w:tcPr>
          <w:p w14:paraId="3C0EA9B5" w14:textId="4CC37B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B_U70_UMW</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59434C">
        <w:tc>
          <w:tcPr>
            <w:tcW w:w="777" w:type="pct"/>
            <w:tcBorders>
              <w:bottom w:val="single" w:sz="4" w:space="0" w:color="auto"/>
            </w:tcBorders>
            <w:shd w:val="clear" w:color="auto" w:fill="F2F2F2" w:themeFill="background1" w:themeFillShade="F2"/>
            <w:vAlign w:val="center"/>
          </w:tcPr>
          <w:p w14:paraId="78A47F31" w14:textId="6ECE32C4" w:rsidR="00884034" w:rsidRPr="00984ECC" w:rsidRDefault="00C909FD" w:rsidP="0059434C">
            <w:pPr>
              <w:rPr>
                <w:rFonts w:asciiTheme="minorHAnsi" w:hAnsiTheme="minorHAnsi" w:cstheme="minorHAnsi"/>
                <w:b/>
                <w:color w:val="000000"/>
              </w:rPr>
            </w:pPr>
            <w:r w:rsidRPr="00984ECC">
              <w:rPr>
                <w:rFonts w:asciiTheme="minorHAnsi" w:hAnsiTheme="minorHAnsi" w:cstheme="minorHAnsi"/>
                <w:b/>
                <w:color w:val="000000"/>
              </w:rPr>
              <w:t>B_U71_UMW</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59434C">
        <w:tc>
          <w:tcPr>
            <w:tcW w:w="777" w:type="pct"/>
            <w:tcBorders>
              <w:bottom w:val="single" w:sz="4" w:space="0" w:color="auto"/>
            </w:tcBorders>
            <w:shd w:val="clear" w:color="auto" w:fill="auto"/>
            <w:vAlign w:val="center"/>
          </w:tcPr>
          <w:p w14:paraId="694BD6C0" w14:textId="52F792E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C_U01</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59434C">
        <w:tc>
          <w:tcPr>
            <w:tcW w:w="777" w:type="pct"/>
            <w:tcBorders>
              <w:bottom w:val="single" w:sz="4" w:space="0" w:color="auto"/>
            </w:tcBorders>
            <w:shd w:val="clear" w:color="auto" w:fill="auto"/>
            <w:vAlign w:val="center"/>
          </w:tcPr>
          <w:p w14:paraId="271D3F88" w14:textId="0D602BD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C_U02</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59434C">
        <w:tc>
          <w:tcPr>
            <w:tcW w:w="777" w:type="pct"/>
            <w:tcBorders>
              <w:bottom w:val="single" w:sz="4" w:space="0" w:color="auto"/>
            </w:tcBorders>
            <w:shd w:val="clear" w:color="auto" w:fill="auto"/>
            <w:vAlign w:val="center"/>
          </w:tcPr>
          <w:p w14:paraId="4E8F6166" w14:textId="2505603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C_U03</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59434C">
        <w:tc>
          <w:tcPr>
            <w:tcW w:w="777" w:type="pct"/>
            <w:tcBorders>
              <w:bottom w:val="single" w:sz="4" w:space="0" w:color="auto"/>
            </w:tcBorders>
            <w:shd w:val="clear" w:color="auto" w:fill="auto"/>
            <w:vAlign w:val="center"/>
          </w:tcPr>
          <w:p w14:paraId="113AD7FE" w14:textId="5B1382F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C_U04</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59434C">
        <w:tc>
          <w:tcPr>
            <w:tcW w:w="777" w:type="pct"/>
            <w:tcBorders>
              <w:bottom w:val="single" w:sz="4" w:space="0" w:color="auto"/>
            </w:tcBorders>
            <w:shd w:val="clear" w:color="auto" w:fill="auto"/>
            <w:vAlign w:val="center"/>
          </w:tcPr>
          <w:p w14:paraId="6CB6AB83" w14:textId="78319DA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C_U05</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59434C">
        <w:tc>
          <w:tcPr>
            <w:tcW w:w="777" w:type="pct"/>
            <w:tcBorders>
              <w:bottom w:val="single" w:sz="4" w:space="0" w:color="auto"/>
            </w:tcBorders>
            <w:shd w:val="clear" w:color="auto" w:fill="auto"/>
            <w:vAlign w:val="center"/>
          </w:tcPr>
          <w:p w14:paraId="3526AE50" w14:textId="58F4ED5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C_U06</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59434C">
        <w:tc>
          <w:tcPr>
            <w:tcW w:w="777" w:type="pct"/>
            <w:tcBorders>
              <w:bottom w:val="single" w:sz="4" w:space="0" w:color="auto"/>
            </w:tcBorders>
            <w:shd w:val="clear" w:color="auto" w:fill="auto"/>
            <w:vAlign w:val="center"/>
          </w:tcPr>
          <w:p w14:paraId="5628DD85" w14:textId="53FE1A2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C_U07</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59434C">
        <w:tc>
          <w:tcPr>
            <w:tcW w:w="777" w:type="pct"/>
            <w:tcBorders>
              <w:bottom w:val="single" w:sz="4" w:space="0" w:color="auto"/>
            </w:tcBorders>
            <w:shd w:val="clear" w:color="auto" w:fill="auto"/>
            <w:vAlign w:val="center"/>
          </w:tcPr>
          <w:p w14:paraId="22B6F548" w14:textId="3D5F27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C_U08</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59434C">
        <w:tc>
          <w:tcPr>
            <w:tcW w:w="777" w:type="pct"/>
            <w:tcBorders>
              <w:bottom w:val="single" w:sz="4" w:space="0" w:color="auto"/>
            </w:tcBorders>
            <w:shd w:val="clear" w:color="auto" w:fill="auto"/>
            <w:vAlign w:val="center"/>
          </w:tcPr>
          <w:p w14:paraId="68BE3488" w14:textId="3FD0C0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C_U09</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59434C">
        <w:tc>
          <w:tcPr>
            <w:tcW w:w="777" w:type="pct"/>
            <w:tcBorders>
              <w:bottom w:val="single" w:sz="4" w:space="0" w:color="auto"/>
            </w:tcBorders>
            <w:shd w:val="clear" w:color="auto" w:fill="auto"/>
            <w:vAlign w:val="center"/>
          </w:tcPr>
          <w:p w14:paraId="034E827D" w14:textId="2F6818D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C_U10</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59434C">
        <w:tc>
          <w:tcPr>
            <w:tcW w:w="777" w:type="pct"/>
            <w:tcBorders>
              <w:bottom w:val="single" w:sz="4" w:space="0" w:color="auto"/>
            </w:tcBorders>
            <w:shd w:val="clear" w:color="auto" w:fill="auto"/>
            <w:vAlign w:val="center"/>
          </w:tcPr>
          <w:p w14:paraId="51FA585B" w14:textId="2A2EC7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C_U11</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59434C">
        <w:tc>
          <w:tcPr>
            <w:tcW w:w="777" w:type="pct"/>
            <w:tcBorders>
              <w:bottom w:val="single" w:sz="4" w:space="0" w:color="auto"/>
            </w:tcBorders>
            <w:shd w:val="clear" w:color="auto" w:fill="auto"/>
            <w:vAlign w:val="center"/>
          </w:tcPr>
          <w:p w14:paraId="04522003" w14:textId="118CE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C_U12</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59434C">
        <w:tc>
          <w:tcPr>
            <w:tcW w:w="777" w:type="pct"/>
            <w:tcBorders>
              <w:bottom w:val="single" w:sz="4" w:space="0" w:color="auto"/>
            </w:tcBorders>
            <w:shd w:val="clear" w:color="auto" w:fill="auto"/>
            <w:vAlign w:val="center"/>
          </w:tcPr>
          <w:p w14:paraId="12CD497F" w14:textId="7BFC8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C_U13</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59434C">
        <w:tc>
          <w:tcPr>
            <w:tcW w:w="777" w:type="pct"/>
            <w:tcBorders>
              <w:bottom w:val="single" w:sz="4" w:space="0" w:color="auto"/>
            </w:tcBorders>
            <w:shd w:val="clear" w:color="auto" w:fill="auto"/>
            <w:vAlign w:val="center"/>
          </w:tcPr>
          <w:p w14:paraId="4E97FECA" w14:textId="078479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C_U14</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59434C">
        <w:tc>
          <w:tcPr>
            <w:tcW w:w="777" w:type="pct"/>
            <w:tcBorders>
              <w:bottom w:val="single" w:sz="4" w:space="0" w:color="auto"/>
            </w:tcBorders>
            <w:shd w:val="clear" w:color="auto" w:fill="auto"/>
            <w:vAlign w:val="center"/>
          </w:tcPr>
          <w:p w14:paraId="5FE19351" w14:textId="57D241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C_U15</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59434C">
        <w:tc>
          <w:tcPr>
            <w:tcW w:w="777" w:type="pct"/>
            <w:tcBorders>
              <w:bottom w:val="single" w:sz="4" w:space="0" w:color="auto"/>
            </w:tcBorders>
            <w:shd w:val="clear" w:color="auto" w:fill="auto"/>
            <w:vAlign w:val="center"/>
          </w:tcPr>
          <w:p w14:paraId="7191DBDB" w14:textId="533DA4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C_U16</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59434C">
        <w:tc>
          <w:tcPr>
            <w:tcW w:w="777" w:type="pct"/>
            <w:tcBorders>
              <w:bottom w:val="single" w:sz="4" w:space="0" w:color="auto"/>
            </w:tcBorders>
            <w:shd w:val="clear" w:color="auto" w:fill="auto"/>
            <w:vAlign w:val="center"/>
          </w:tcPr>
          <w:p w14:paraId="2F97873D" w14:textId="22F803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C_U17</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59434C">
        <w:tc>
          <w:tcPr>
            <w:tcW w:w="5000" w:type="pct"/>
            <w:gridSpan w:val="3"/>
            <w:shd w:val="pct10" w:color="auto" w:fill="auto"/>
            <w:vAlign w:val="center"/>
          </w:tcPr>
          <w:p w14:paraId="40EDA348" w14:textId="648A4C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59434C">
        <w:tc>
          <w:tcPr>
            <w:tcW w:w="777" w:type="pct"/>
            <w:shd w:val="clear" w:color="auto" w:fill="auto"/>
            <w:vAlign w:val="center"/>
          </w:tcPr>
          <w:p w14:paraId="7C940991"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K_K01</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59434C">
        <w:tc>
          <w:tcPr>
            <w:tcW w:w="777" w:type="pct"/>
            <w:shd w:val="clear" w:color="auto" w:fill="auto"/>
            <w:vAlign w:val="center"/>
          </w:tcPr>
          <w:p w14:paraId="2EC88A29"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K_K02</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59434C">
        <w:tc>
          <w:tcPr>
            <w:tcW w:w="777" w:type="pct"/>
            <w:shd w:val="clear" w:color="auto" w:fill="auto"/>
            <w:vAlign w:val="center"/>
          </w:tcPr>
          <w:p w14:paraId="4074D9FC"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K_K03</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59434C">
        <w:tc>
          <w:tcPr>
            <w:tcW w:w="777" w:type="pct"/>
            <w:shd w:val="clear" w:color="auto" w:fill="auto"/>
            <w:vAlign w:val="center"/>
          </w:tcPr>
          <w:p w14:paraId="39708355"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K_K04</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59434C">
        <w:tc>
          <w:tcPr>
            <w:tcW w:w="777" w:type="pct"/>
            <w:shd w:val="clear" w:color="auto" w:fill="auto"/>
            <w:vAlign w:val="center"/>
          </w:tcPr>
          <w:p w14:paraId="6663DB4A"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K_K05</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59434C">
        <w:tc>
          <w:tcPr>
            <w:tcW w:w="777" w:type="pct"/>
            <w:shd w:val="clear" w:color="auto" w:fill="auto"/>
            <w:vAlign w:val="center"/>
          </w:tcPr>
          <w:p w14:paraId="08B1C580"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K_K06</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59434C">
        <w:tc>
          <w:tcPr>
            <w:tcW w:w="777" w:type="pct"/>
            <w:shd w:val="clear" w:color="auto" w:fill="auto"/>
            <w:vAlign w:val="center"/>
          </w:tcPr>
          <w:p w14:paraId="4784E79B"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K_K07</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7777777" w:rsidR="00EB2FD6" w:rsidRPr="00984ECC" w:rsidRDefault="00EB2FD6"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(Multiple Choice Questions,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(Multiple Response Questions,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krótkich odpowiedzi SAQs</w:t>
            </w:r>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r w:rsidRPr="00984ECC">
              <w:rPr>
                <w:rFonts w:asciiTheme="minorHAnsi" w:hAnsiTheme="minorHAnsi" w:cstheme="minorHAnsi"/>
                <w:bCs/>
                <w:lang w:val="en-GB"/>
              </w:rPr>
              <w:t>egzamin standaryzowany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Mini-Cex</w:t>
            </w:r>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r w:rsidRPr="00984ECC">
              <w:rPr>
                <w:rFonts w:asciiTheme="minorHAnsi" w:hAnsiTheme="minorHAnsi" w:cstheme="minorHAnsi"/>
                <w:i/>
                <w:iCs/>
              </w:rPr>
              <w:t>case study</w:t>
            </w:r>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7423216D" w14:textId="77777777" w:rsidR="00CC5046" w:rsidRPr="00984ECC" w:rsidRDefault="00CC5046" w:rsidP="00E448A1">
            <w:pPr>
              <w:pStyle w:val="Akapitzlist"/>
              <w:rPr>
                <w:rFonts w:asciiTheme="minorHAnsi" w:hAnsiTheme="minorHAnsi" w:cstheme="minorHAnsi"/>
                <w:bCs/>
              </w:rPr>
            </w:pPr>
          </w:p>
          <w:p w14:paraId="02C6441E" w14:textId="77777777" w:rsidR="00CC5046" w:rsidRPr="00984ECC" w:rsidRDefault="00CC5046" w:rsidP="00E448A1">
            <w:pPr>
              <w:pStyle w:val="Akapitzlist"/>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984ECC" w:rsidRDefault="004245FE" w:rsidP="004245FE">
            <w:pPr>
              <w:pStyle w:val="Akapitzlist"/>
              <w:numPr>
                <w:ilvl w:val="0"/>
                <w:numId w:val="26"/>
              </w:num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obserwacja przez prowadzącego i współuczestników</w:t>
            </w:r>
          </w:p>
          <w:p w14:paraId="272823BC" w14:textId="312B790D" w:rsidR="00CC5046" w:rsidRPr="00984ECC" w:rsidRDefault="004245FE" w:rsidP="004245FE">
            <w:pPr>
              <w:pStyle w:val="Akapitzlist"/>
              <w:numPr>
                <w:ilvl w:val="0"/>
                <w:numId w:val="26"/>
              </w:numPr>
              <w:rPr>
                <w:rFonts w:asciiTheme="minorHAnsi" w:hAnsiTheme="minorHAnsi" w:cstheme="minorHAnsi"/>
                <w:bCs/>
              </w:rPr>
            </w:pPr>
            <w:r w:rsidRPr="00984ECC">
              <w:rPr>
                <w:rFonts w:asciiTheme="minorHAnsi" w:hAnsiTheme="minorHAnsi" w:cstheme="minorHAnsi"/>
                <w:sz w:val="20"/>
                <w:szCs w:val="20"/>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154A" w14:textId="77777777" w:rsidR="009C69CB" w:rsidRDefault="009C69CB" w:rsidP="00E91587">
      <w:r>
        <w:separator/>
      </w:r>
    </w:p>
  </w:endnote>
  <w:endnote w:type="continuationSeparator" w:id="0">
    <w:p w14:paraId="219E264B" w14:textId="77777777" w:rsidR="009C69CB" w:rsidRDefault="009C69CB"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0A5748C9"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8741A">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741A">
              <w:rPr>
                <w:b/>
                <w:bCs/>
                <w:noProof/>
              </w:rPr>
              <w:t>29</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9AE0" w14:textId="77777777" w:rsidR="009C69CB" w:rsidRDefault="009C69CB" w:rsidP="00E91587">
      <w:r>
        <w:separator/>
      </w:r>
    </w:p>
  </w:footnote>
  <w:footnote w:type="continuationSeparator" w:id="0">
    <w:p w14:paraId="7DA6902B" w14:textId="77777777" w:rsidR="009C69CB" w:rsidRDefault="009C69CB" w:rsidP="00E91587">
      <w:r>
        <w:continuationSeparator/>
      </w:r>
    </w:p>
  </w:footnote>
  <w:footnote w:id="1">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num>
  <w:num w:numId="3">
    <w:abstractNumId w:val="23"/>
  </w:num>
  <w:num w:numId="4">
    <w:abstractNumId w:val="23"/>
  </w:num>
  <w:num w:numId="5">
    <w:abstractNumId w:val="4"/>
  </w:num>
  <w:num w:numId="6">
    <w:abstractNumId w:val="14"/>
  </w:num>
  <w:num w:numId="7">
    <w:abstractNumId w:val="17"/>
  </w:num>
  <w:num w:numId="8">
    <w:abstractNumId w:val="5"/>
  </w:num>
  <w:num w:numId="9">
    <w:abstractNumId w:val="11"/>
  </w:num>
  <w:num w:numId="10">
    <w:abstractNumId w:val="12"/>
  </w:num>
  <w:num w:numId="11">
    <w:abstractNumId w:val="18"/>
  </w:num>
  <w:num w:numId="12">
    <w:abstractNumId w:val="7"/>
  </w:num>
  <w:num w:numId="13">
    <w:abstractNumId w:val="1"/>
  </w:num>
  <w:num w:numId="14">
    <w:abstractNumId w:val="0"/>
  </w:num>
  <w:num w:numId="15">
    <w:abstractNumId w:val="25"/>
  </w:num>
  <w:num w:numId="16">
    <w:abstractNumId w:val="10"/>
  </w:num>
  <w:num w:numId="17">
    <w:abstractNumId w:val="19"/>
  </w:num>
  <w:num w:numId="18">
    <w:abstractNumId w:val="22"/>
  </w:num>
  <w:num w:numId="19">
    <w:abstractNumId w:val="20"/>
  </w:num>
  <w:num w:numId="20">
    <w:abstractNumId w:val="16"/>
  </w:num>
  <w:num w:numId="21">
    <w:abstractNumId w:val="13"/>
  </w:num>
  <w:num w:numId="22">
    <w:abstractNumId w:val="21"/>
  </w:num>
  <w:num w:numId="23">
    <w:abstractNumId w:val="15"/>
  </w:num>
  <w:num w:numId="24">
    <w:abstractNumId w:val="6"/>
  </w:num>
  <w:num w:numId="25">
    <w:abstractNumId w:val="2"/>
  </w:num>
  <w:num w:numId="26">
    <w:abstractNumId w:val="24"/>
  </w:num>
  <w:num w:numId="27">
    <w:abstractNumId w:val="26"/>
  </w:num>
  <w:num w:numId="28">
    <w:abstractNumId w:val="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6E"/>
    <w:rsid w:val="00000280"/>
    <w:rsid w:val="00011097"/>
    <w:rsid w:val="00011ABF"/>
    <w:rsid w:val="00013A2C"/>
    <w:rsid w:val="00014349"/>
    <w:rsid w:val="0002557F"/>
    <w:rsid w:val="00027FBB"/>
    <w:rsid w:val="00030973"/>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73AF"/>
    <w:rsid w:val="000A7913"/>
    <w:rsid w:val="000B025C"/>
    <w:rsid w:val="000B1446"/>
    <w:rsid w:val="000B35FF"/>
    <w:rsid w:val="000B4EA8"/>
    <w:rsid w:val="000B6C78"/>
    <w:rsid w:val="000B7335"/>
    <w:rsid w:val="000C0D36"/>
    <w:rsid w:val="000C5820"/>
    <w:rsid w:val="000C698F"/>
    <w:rsid w:val="000C7DA9"/>
    <w:rsid w:val="000D4406"/>
    <w:rsid w:val="000D49BB"/>
    <w:rsid w:val="000D62E9"/>
    <w:rsid w:val="000E04FD"/>
    <w:rsid w:val="000E1146"/>
    <w:rsid w:val="000E2FCE"/>
    <w:rsid w:val="000E40F8"/>
    <w:rsid w:val="000E73DD"/>
    <w:rsid w:val="000F0302"/>
    <w:rsid w:val="001001E2"/>
    <w:rsid w:val="00100451"/>
    <w:rsid w:val="00102FF6"/>
    <w:rsid w:val="001032BD"/>
    <w:rsid w:val="001039CF"/>
    <w:rsid w:val="00103AB8"/>
    <w:rsid w:val="00115D90"/>
    <w:rsid w:val="00120584"/>
    <w:rsid w:val="001205CE"/>
    <w:rsid w:val="0012233B"/>
    <w:rsid w:val="00122E8E"/>
    <w:rsid w:val="00124742"/>
    <w:rsid w:val="00130276"/>
    <w:rsid w:val="00130460"/>
    <w:rsid w:val="00131F72"/>
    <w:rsid w:val="001345D0"/>
    <w:rsid w:val="00134F53"/>
    <w:rsid w:val="00143742"/>
    <w:rsid w:val="001526FA"/>
    <w:rsid w:val="00155E8C"/>
    <w:rsid w:val="001565D7"/>
    <w:rsid w:val="001571FB"/>
    <w:rsid w:val="00160C59"/>
    <w:rsid w:val="00160CAB"/>
    <w:rsid w:val="00166AED"/>
    <w:rsid w:val="00172297"/>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4333"/>
    <w:rsid w:val="00237E81"/>
    <w:rsid w:val="0024082D"/>
    <w:rsid w:val="00244B69"/>
    <w:rsid w:val="00246CCF"/>
    <w:rsid w:val="002475E6"/>
    <w:rsid w:val="002517DF"/>
    <w:rsid w:val="0025266E"/>
    <w:rsid w:val="002529F2"/>
    <w:rsid w:val="00262A2E"/>
    <w:rsid w:val="002663E9"/>
    <w:rsid w:val="002664FB"/>
    <w:rsid w:val="00267F93"/>
    <w:rsid w:val="002719ED"/>
    <w:rsid w:val="0027692E"/>
    <w:rsid w:val="0028562D"/>
    <w:rsid w:val="0029469A"/>
    <w:rsid w:val="00296C2B"/>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492F"/>
    <w:rsid w:val="0030511E"/>
    <w:rsid w:val="00306265"/>
    <w:rsid w:val="003079EF"/>
    <w:rsid w:val="00311EFA"/>
    <w:rsid w:val="00311F0C"/>
    <w:rsid w:val="003203D5"/>
    <w:rsid w:val="00321FCF"/>
    <w:rsid w:val="0032216B"/>
    <w:rsid w:val="00332B65"/>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41FE"/>
    <w:rsid w:val="003A5A23"/>
    <w:rsid w:val="003A72CD"/>
    <w:rsid w:val="003B39B7"/>
    <w:rsid w:val="003B444C"/>
    <w:rsid w:val="003B67A2"/>
    <w:rsid w:val="003B74AB"/>
    <w:rsid w:val="003C0C2F"/>
    <w:rsid w:val="003C1C39"/>
    <w:rsid w:val="003C2577"/>
    <w:rsid w:val="003C45E2"/>
    <w:rsid w:val="003C7E2A"/>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BB0"/>
    <w:rsid w:val="0047656E"/>
    <w:rsid w:val="00481792"/>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6103"/>
    <w:rsid w:val="00527E04"/>
    <w:rsid w:val="0053067B"/>
    <w:rsid w:val="00531CF8"/>
    <w:rsid w:val="00533A84"/>
    <w:rsid w:val="00533EF4"/>
    <w:rsid w:val="005353C2"/>
    <w:rsid w:val="00542D86"/>
    <w:rsid w:val="00544AEF"/>
    <w:rsid w:val="00546F4D"/>
    <w:rsid w:val="005518DD"/>
    <w:rsid w:val="00553DB5"/>
    <w:rsid w:val="00557AED"/>
    <w:rsid w:val="00561187"/>
    <w:rsid w:val="00562224"/>
    <w:rsid w:val="005632CD"/>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9058B"/>
    <w:rsid w:val="00593F73"/>
    <w:rsid w:val="0059434C"/>
    <w:rsid w:val="00595F9F"/>
    <w:rsid w:val="00597814"/>
    <w:rsid w:val="005A04EA"/>
    <w:rsid w:val="005B00AB"/>
    <w:rsid w:val="005B7A76"/>
    <w:rsid w:val="005C4688"/>
    <w:rsid w:val="005C6E79"/>
    <w:rsid w:val="005C6F95"/>
    <w:rsid w:val="005D037C"/>
    <w:rsid w:val="005D2877"/>
    <w:rsid w:val="005D6788"/>
    <w:rsid w:val="005D760A"/>
    <w:rsid w:val="005E0D5B"/>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6351"/>
    <w:rsid w:val="00617062"/>
    <w:rsid w:val="006210A3"/>
    <w:rsid w:val="0062428D"/>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D11"/>
    <w:rsid w:val="006C5F58"/>
    <w:rsid w:val="006D2581"/>
    <w:rsid w:val="006D2699"/>
    <w:rsid w:val="006D37EA"/>
    <w:rsid w:val="006D5DE6"/>
    <w:rsid w:val="006D5F82"/>
    <w:rsid w:val="006E0F50"/>
    <w:rsid w:val="006E3419"/>
    <w:rsid w:val="006E5EBF"/>
    <w:rsid w:val="006F321B"/>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48B5"/>
    <w:rsid w:val="00757A70"/>
    <w:rsid w:val="007649B1"/>
    <w:rsid w:val="00765191"/>
    <w:rsid w:val="00765852"/>
    <w:rsid w:val="007675C0"/>
    <w:rsid w:val="00771A5A"/>
    <w:rsid w:val="007743A6"/>
    <w:rsid w:val="00775DC3"/>
    <w:rsid w:val="00776800"/>
    <w:rsid w:val="00781DEC"/>
    <w:rsid w:val="007847CA"/>
    <w:rsid w:val="007852F5"/>
    <w:rsid w:val="00785335"/>
    <w:rsid w:val="00785BE2"/>
    <w:rsid w:val="00786F5F"/>
    <w:rsid w:val="00791688"/>
    <w:rsid w:val="00792663"/>
    <w:rsid w:val="00792F4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E0AC7"/>
    <w:rsid w:val="007E7B47"/>
    <w:rsid w:val="007E7CD0"/>
    <w:rsid w:val="007F4AD2"/>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385D"/>
    <w:rsid w:val="0087581D"/>
    <w:rsid w:val="00880DFB"/>
    <w:rsid w:val="00881EEF"/>
    <w:rsid w:val="00883EE4"/>
    <w:rsid w:val="00884034"/>
    <w:rsid w:val="00891C66"/>
    <w:rsid w:val="00897E9F"/>
    <w:rsid w:val="008A0627"/>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28DA"/>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69CB"/>
    <w:rsid w:val="009C75EE"/>
    <w:rsid w:val="009D1DDE"/>
    <w:rsid w:val="009D5E42"/>
    <w:rsid w:val="009D693A"/>
    <w:rsid w:val="009D70B8"/>
    <w:rsid w:val="009D73A7"/>
    <w:rsid w:val="009E2318"/>
    <w:rsid w:val="009E780D"/>
    <w:rsid w:val="009F00B4"/>
    <w:rsid w:val="009F1E21"/>
    <w:rsid w:val="009F2C1B"/>
    <w:rsid w:val="009F5F04"/>
    <w:rsid w:val="00A01E54"/>
    <w:rsid w:val="00A06EC4"/>
    <w:rsid w:val="00A07BF7"/>
    <w:rsid w:val="00A101A5"/>
    <w:rsid w:val="00A1099C"/>
    <w:rsid w:val="00A153E0"/>
    <w:rsid w:val="00A2023C"/>
    <w:rsid w:val="00A20326"/>
    <w:rsid w:val="00A2244E"/>
    <w:rsid w:val="00A230A2"/>
    <w:rsid w:val="00A23234"/>
    <w:rsid w:val="00A2338B"/>
    <w:rsid w:val="00A255FB"/>
    <w:rsid w:val="00A268D8"/>
    <w:rsid w:val="00A26AD4"/>
    <w:rsid w:val="00A30785"/>
    <w:rsid w:val="00A31C41"/>
    <w:rsid w:val="00A336B5"/>
    <w:rsid w:val="00A342DD"/>
    <w:rsid w:val="00A34CB0"/>
    <w:rsid w:val="00A357BD"/>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620C"/>
    <w:rsid w:val="00C006BA"/>
    <w:rsid w:val="00C00899"/>
    <w:rsid w:val="00C00FD4"/>
    <w:rsid w:val="00C026D1"/>
    <w:rsid w:val="00C06782"/>
    <w:rsid w:val="00C06AAB"/>
    <w:rsid w:val="00C06DD9"/>
    <w:rsid w:val="00C11DEC"/>
    <w:rsid w:val="00C15D92"/>
    <w:rsid w:val="00C17071"/>
    <w:rsid w:val="00C236F8"/>
    <w:rsid w:val="00C2415E"/>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05E29"/>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44D5"/>
    <w:rsid w:val="00D648AD"/>
    <w:rsid w:val="00D65366"/>
    <w:rsid w:val="00D666AE"/>
    <w:rsid w:val="00D669DB"/>
    <w:rsid w:val="00D669EB"/>
    <w:rsid w:val="00D71551"/>
    <w:rsid w:val="00D71B44"/>
    <w:rsid w:val="00D71CBC"/>
    <w:rsid w:val="00D76206"/>
    <w:rsid w:val="00D77522"/>
    <w:rsid w:val="00D808C2"/>
    <w:rsid w:val="00D841FD"/>
    <w:rsid w:val="00D8741A"/>
    <w:rsid w:val="00D902FD"/>
    <w:rsid w:val="00D93B69"/>
    <w:rsid w:val="00D94D0D"/>
    <w:rsid w:val="00D968EC"/>
    <w:rsid w:val="00DA0562"/>
    <w:rsid w:val="00DA0EF3"/>
    <w:rsid w:val="00DA122E"/>
    <w:rsid w:val="00DA6AC8"/>
    <w:rsid w:val="00DA7A35"/>
    <w:rsid w:val="00DB13C2"/>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10BD5"/>
    <w:rsid w:val="00E11A5A"/>
    <w:rsid w:val="00E20538"/>
    <w:rsid w:val="00E215FA"/>
    <w:rsid w:val="00E21D1A"/>
    <w:rsid w:val="00E25550"/>
    <w:rsid w:val="00E25651"/>
    <w:rsid w:val="00E26C24"/>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6554"/>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60CD3"/>
    <w:rsid w:val="00F67C67"/>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E1165"/>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1915-BA04-4A7E-B0B2-A95174F9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10906</Words>
  <Characters>65440</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76194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2728/2025</dc:title>
  <dc:subject/>
  <dc:creator>Centrum Kultury Jakości Ksztalcenia</dc:creator>
  <cp:keywords>PROGRAM KSZTAŁCENIA</cp:keywords>
  <dc:description/>
  <cp:lastModifiedBy>MKapera</cp:lastModifiedBy>
  <cp:revision>54</cp:revision>
  <cp:lastPrinted>2025-03-12T11:50:00Z</cp:lastPrinted>
  <dcterms:created xsi:type="dcterms:W3CDTF">2025-01-30T13:05:00Z</dcterms:created>
  <dcterms:modified xsi:type="dcterms:W3CDTF">2025-03-28T07:05:00Z</dcterms:modified>
</cp:coreProperties>
</file>