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57B2" w14:textId="608B4F67" w:rsidR="00F06590" w:rsidRPr="00BE61F0" w:rsidRDefault="00F06590" w:rsidP="00BE61F0">
      <w:pPr>
        <w:spacing w:after="0" w:line="288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BE61F0">
        <w:rPr>
          <w:rFonts w:ascii="Calibri" w:hAnsi="Calibri" w:cs="Calibri"/>
        </w:rPr>
        <w:t xml:space="preserve">Załącznik nr </w:t>
      </w:r>
      <w:r w:rsidR="00BE61F0" w:rsidRPr="00BE61F0">
        <w:rPr>
          <w:rFonts w:ascii="Calibri" w:hAnsi="Calibri" w:cs="Calibri"/>
        </w:rPr>
        <w:t xml:space="preserve">2 </w:t>
      </w:r>
      <w:r w:rsidRPr="00BE61F0">
        <w:rPr>
          <w:rFonts w:ascii="Calibri" w:hAnsi="Calibri" w:cs="Calibri"/>
        </w:rPr>
        <w:t xml:space="preserve"> </w:t>
      </w:r>
    </w:p>
    <w:p w14:paraId="30A59BC7" w14:textId="74739A07" w:rsidR="00F06590" w:rsidRPr="00BE61F0" w:rsidRDefault="00BE61F0" w:rsidP="00BE61F0">
      <w:pPr>
        <w:spacing w:after="0" w:line="288" w:lineRule="auto"/>
        <w:jc w:val="right"/>
        <w:rPr>
          <w:rFonts w:ascii="Calibri" w:hAnsi="Calibri" w:cs="Calibri"/>
        </w:rPr>
      </w:pPr>
      <w:r w:rsidRPr="00BE61F0">
        <w:rPr>
          <w:rFonts w:ascii="Calibri" w:hAnsi="Calibri" w:cs="Calibri"/>
        </w:rPr>
        <w:t>do Zarządzenia nr</w:t>
      </w:r>
      <w:r w:rsidR="004C648E">
        <w:rPr>
          <w:rFonts w:ascii="Calibri" w:hAnsi="Calibri" w:cs="Calibri"/>
        </w:rPr>
        <w:t xml:space="preserve"> 129</w:t>
      </w:r>
      <w:r w:rsidRPr="00BE61F0">
        <w:rPr>
          <w:rFonts w:ascii="Calibri" w:hAnsi="Calibri" w:cs="Calibri"/>
        </w:rPr>
        <w:t>/XVI R/2025</w:t>
      </w:r>
    </w:p>
    <w:p w14:paraId="5F7BC6FE" w14:textId="260AA1AB" w:rsidR="00BE61F0" w:rsidRPr="00BE61F0" w:rsidRDefault="00BE61F0" w:rsidP="00BE61F0">
      <w:pPr>
        <w:spacing w:after="0" w:line="288" w:lineRule="auto"/>
        <w:jc w:val="right"/>
        <w:rPr>
          <w:rFonts w:ascii="Calibri" w:hAnsi="Calibri" w:cs="Calibri"/>
        </w:rPr>
      </w:pPr>
      <w:r w:rsidRPr="00BE61F0">
        <w:rPr>
          <w:rFonts w:ascii="Calibri" w:hAnsi="Calibri" w:cs="Calibri"/>
        </w:rPr>
        <w:t xml:space="preserve">Rektora Uniwersytetu Medycznego we Wrocławiu </w:t>
      </w:r>
    </w:p>
    <w:p w14:paraId="00E8F385" w14:textId="15D5BCFD" w:rsidR="00BE61F0" w:rsidRPr="00BE61F0" w:rsidRDefault="004C648E" w:rsidP="00BE61F0">
      <w:pPr>
        <w:spacing w:after="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 dnia 6 </w:t>
      </w:r>
      <w:r w:rsidR="000D2FCC">
        <w:rPr>
          <w:rFonts w:ascii="Calibri" w:hAnsi="Calibri" w:cs="Calibri"/>
        </w:rPr>
        <w:t xml:space="preserve">sierpnia </w:t>
      </w:r>
      <w:r w:rsidR="00BE61F0" w:rsidRPr="00BE61F0">
        <w:rPr>
          <w:rFonts w:ascii="Calibri" w:hAnsi="Calibri" w:cs="Calibri"/>
        </w:rPr>
        <w:t>2025 r.</w:t>
      </w:r>
    </w:p>
    <w:p w14:paraId="6ED78A43" w14:textId="77777777" w:rsidR="00BE61F0" w:rsidRPr="00BE61F0" w:rsidRDefault="00BE61F0" w:rsidP="005F612A">
      <w:pPr>
        <w:spacing w:after="0"/>
        <w:jc w:val="center"/>
        <w:rPr>
          <w:rFonts w:ascii="Calibri" w:hAnsi="Calibri" w:cs="Calibri"/>
          <w:b/>
          <w:bCs/>
        </w:rPr>
      </w:pPr>
    </w:p>
    <w:p w14:paraId="7A81749B" w14:textId="77777777" w:rsidR="00BE61F0" w:rsidRPr="00BE61F0" w:rsidRDefault="00BE61F0" w:rsidP="005F612A">
      <w:pPr>
        <w:spacing w:after="0"/>
        <w:jc w:val="center"/>
        <w:rPr>
          <w:rFonts w:ascii="Calibri" w:hAnsi="Calibri" w:cs="Calibri"/>
          <w:b/>
          <w:bCs/>
        </w:rPr>
      </w:pPr>
    </w:p>
    <w:p w14:paraId="4123CF9B" w14:textId="5DE021E7" w:rsidR="005F612A" w:rsidRPr="00BE61F0" w:rsidRDefault="006A0459" w:rsidP="005F612A">
      <w:pPr>
        <w:spacing w:after="0"/>
        <w:jc w:val="center"/>
        <w:rPr>
          <w:rFonts w:ascii="Calibri" w:hAnsi="Calibri" w:cs="Calibri"/>
          <w:b/>
          <w:bCs/>
        </w:rPr>
      </w:pPr>
      <w:r w:rsidRPr="00BE61F0">
        <w:rPr>
          <w:rFonts w:ascii="Calibri" w:hAnsi="Calibri" w:cs="Calibri"/>
          <w:b/>
          <w:bCs/>
        </w:rPr>
        <w:t xml:space="preserve">PROCEDURA </w:t>
      </w:r>
      <w:r w:rsidR="00DB36B5" w:rsidRPr="00BE61F0">
        <w:rPr>
          <w:rFonts w:ascii="Calibri" w:hAnsi="Calibri" w:cs="Calibri"/>
          <w:b/>
          <w:bCs/>
        </w:rPr>
        <w:t xml:space="preserve">SZACUNKOWEJ </w:t>
      </w:r>
      <w:r w:rsidR="009F77E2" w:rsidRPr="00BE61F0">
        <w:rPr>
          <w:rFonts w:ascii="Calibri" w:hAnsi="Calibri" w:cs="Calibri"/>
          <w:b/>
          <w:bCs/>
        </w:rPr>
        <w:t>WYCEN</w:t>
      </w:r>
      <w:r w:rsidRPr="00BE61F0">
        <w:rPr>
          <w:rFonts w:ascii="Calibri" w:hAnsi="Calibri" w:cs="Calibri"/>
          <w:b/>
          <w:bCs/>
        </w:rPr>
        <w:t>Y</w:t>
      </w:r>
    </w:p>
    <w:p w14:paraId="6E44B47D" w14:textId="0F6AE10B" w:rsidR="005F612A" w:rsidRPr="00BE61F0" w:rsidRDefault="001A4FA1" w:rsidP="005F612A">
      <w:pPr>
        <w:spacing w:after="0"/>
        <w:jc w:val="center"/>
        <w:rPr>
          <w:rFonts w:ascii="Calibri" w:hAnsi="Calibri" w:cs="Calibri"/>
          <w:b/>
          <w:bCs/>
        </w:rPr>
      </w:pPr>
      <w:r w:rsidRPr="00BE61F0">
        <w:rPr>
          <w:rFonts w:ascii="Calibri" w:hAnsi="Calibri" w:cs="Calibri"/>
          <w:b/>
          <w:bCs/>
        </w:rPr>
        <w:t xml:space="preserve"> SKŁADNIKÓW RZECZOWYCH MAJĄTKU RUCHOMEGO SKARBU PAŃSTWA</w:t>
      </w:r>
    </w:p>
    <w:p w14:paraId="124829CE" w14:textId="77777777" w:rsidR="001A4FA1" w:rsidRPr="00BE61F0" w:rsidRDefault="001A4FA1" w:rsidP="005F612A">
      <w:pPr>
        <w:spacing w:after="0"/>
        <w:jc w:val="center"/>
        <w:rPr>
          <w:rFonts w:ascii="Calibri" w:hAnsi="Calibri" w:cs="Calibri"/>
          <w:b/>
          <w:bCs/>
        </w:rPr>
      </w:pPr>
    </w:p>
    <w:p w14:paraId="5AAC311C" w14:textId="6AD3AA15" w:rsidR="009D65FD" w:rsidRDefault="009D65FD" w:rsidP="00DB36B5">
      <w:pPr>
        <w:jc w:val="both"/>
        <w:rPr>
          <w:rFonts w:ascii="Calibri" w:hAnsi="Calibri" w:cs="Calibri"/>
        </w:rPr>
      </w:pPr>
      <w:r w:rsidRPr="00BE61F0">
        <w:rPr>
          <w:rFonts w:ascii="Calibri" w:hAnsi="Calibri" w:cs="Calibri"/>
        </w:rPr>
        <w:t xml:space="preserve">W </w:t>
      </w:r>
      <w:r w:rsidR="00301ABD" w:rsidRPr="00BE61F0">
        <w:rPr>
          <w:rFonts w:ascii="Calibri" w:hAnsi="Calibri" w:cs="Calibri"/>
        </w:rPr>
        <w:t xml:space="preserve">przypadku </w:t>
      </w:r>
      <w:r w:rsidR="00696405" w:rsidRPr="00BE61F0">
        <w:rPr>
          <w:rFonts w:ascii="Calibri" w:hAnsi="Calibri" w:cs="Calibri"/>
        </w:rPr>
        <w:t xml:space="preserve">braku możliwości </w:t>
      </w:r>
      <w:r w:rsidRPr="00BE61F0">
        <w:rPr>
          <w:rFonts w:ascii="Calibri" w:hAnsi="Calibri" w:cs="Calibri"/>
        </w:rPr>
        <w:t>określeni</w:t>
      </w:r>
      <w:r w:rsidR="00696405" w:rsidRPr="00BE61F0">
        <w:rPr>
          <w:rFonts w:ascii="Calibri" w:hAnsi="Calibri" w:cs="Calibri"/>
        </w:rPr>
        <w:t>a</w:t>
      </w:r>
      <w:r w:rsidRPr="00BE61F0">
        <w:rPr>
          <w:rFonts w:ascii="Calibri" w:hAnsi="Calibri" w:cs="Calibri"/>
        </w:rPr>
        <w:t xml:space="preserve"> faktycznego stanu przedmiotu</w:t>
      </w:r>
      <w:r w:rsidR="00696405" w:rsidRPr="00BE61F0">
        <w:rPr>
          <w:rFonts w:ascii="Calibri" w:hAnsi="Calibri" w:cs="Calibri"/>
        </w:rPr>
        <w:t>,</w:t>
      </w:r>
      <w:r w:rsidRPr="00BE61F0">
        <w:rPr>
          <w:rFonts w:ascii="Calibri" w:hAnsi="Calibri" w:cs="Calibri"/>
        </w:rPr>
        <w:t xml:space="preserve"> </w:t>
      </w:r>
      <w:r w:rsidR="00696405" w:rsidRPr="00BE61F0">
        <w:rPr>
          <w:rFonts w:ascii="Calibri" w:hAnsi="Calibri" w:cs="Calibri"/>
        </w:rPr>
        <w:t xml:space="preserve">jego </w:t>
      </w:r>
      <w:r w:rsidRPr="00BE61F0">
        <w:rPr>
          <w:rFonts w:ascii="Calibri" w:hAnsi="Calibri" w:cs="Calibri"/>
        </w:rPr>
        <w:t>wycen</w:t>
      </w:r>
      <w:r w:rsidR="00696405" w:rsidRPr="00BE61F0">
        <w:rPr>
          <w:rFonts w:ascii="Calibri" w:hAnsi="Calibri" w:cs="Calibri"/>
        </w:rPr>
        <w:t>a</w:t>
      </w:r>
      <w:r w:rsidRPr="00BE61F0">
        <w:rPr>
          <w:rFonts w:ascii="Calibri" w:hAnsi="Calibri" w:cs="Calibri"/>
        </w:rPr>
        <w:t xml:space="preserve"> jest niemożliw</w:t>
      </w:r>
      <w:r w:rsidR="00696405" w:rsidRPr="00BE61F0">
        <w:rPr>
          <w:rFonts w:ascii="Calibri" w:hAnsi="Calibri" w:cs="Calibri"/>
        </w:rPr>
        <w:t>a</w:t>
      </w:r>
      <w:r w:rsidRPr="00BE61F0">
        <w:rPr>
          <w:rFonts w:ascii="Calibri" w:hAnsi="Calibri" w:cs="Calibri"/>
        </w:rPr>
        <w:t xml:space="preserve"> do ustalenia</w:t>
      </w:r>
      <w:r w:rsidR="00A366EA" w:rsidRPr="00BE61F0">
        <w:rPr>
          <w:rFonts w:ascii="Calibri" w:hAnsi="Calibri" w:cs="Calibri"/>
        </w:rPr>
        <w:t>,</w:t>
      </w:r>
      <w:r w:rsidRPr="00BE61F0">
        <w:rPr>
          <w:rFonts w:ascii="Calibri" w:hAnsi="Calibri" w:cs="Calibri"/>
        </w:rPr>
        <w:t xml:space="preserve"> dokonana zostanie wycena wartości hipotetycznej.</w:t>
      </w:r>
    </w:p>
    <w:p w14:paraId="76967508" w14:textId="28A05A7F" w:rsidR="008E7384" w:rsidRPr="00BE61F0" w:rsidRDefault="003A024A" w:rsidP="00DB36B5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Maszyny i urządzenia użytkowane po upływie gwarancji</w:t>
      </w:r>
      <w:r w:rsidR="00CC56C6" w:rsidRPr="00BE61F0">
        <w:rPr>
          <w:rFonts w:ascii="Calibri" w:hAnsi="Calibri" w:cs="Calibri"/>
          <w:color w:val="000000" w:themeColor="text1"/>
        </w:rPr>
        <w:t xml:space="preserve"> </w:t>
      </w:r>
      <w:r w:rsidR="00F61C26" w:rsidRPr="00BE61F0">
        <w:rPr>
          <w:rFonts w:ascii="Calibri" w:hAnsi="Calibri" w:cs="Calibri"/>
          <w:color w:val="000000" w:themeColor="text1"/>
        </w:rPr>
        <w:t>będą wyceniane</w:t>
      </w:r>
      <w:r w:rsidR="00696405" w:rsidRPr="00BE61F0">
        <w:rPr>
          <w:rFonts w:ascii="Calibri" w:hAnsi="Calibri" w:cs="Calibri"/>
          <w:color w:val="000000" w:themeColor="text1"/>
        </w:rPr>
        <w:br/>
      </w:r>
      <w:r w:rsidR="00CC56C6" w:rsidRPr="00BE61F0">
        <w:rPr>
          <w:rFonts w:ascii="Calibri" w:hAnsi="Calibri" w:cs="Calibri"/>
          <w:color w:val="000000" w:themeColor="text1"/>
        </w:rPr>
        <w:t>z uwzględnieniem stopnia zużycia</w:t>
      </w:r>
      <w:r w:rsidR="00A75F45" w:rsidRPr="00BE61F0">
        <w:rPr>
          <w:rFonts w:ascii="Calibri" w:hAnsi="Calibri" w:cs="Calibri"/>
          <w:color w:val="000000" w:themeColor="text1"/>
        </w:rPr>
        <w:t xml:space="preserve"> przy zastosowaniu podejścia porównawczego lub podejścia kosztowego.</w:t>
      </w:r>
    </w:p>
    <w:p w14:paraId="5F97A9F4" w14:textId="77777777" w:rsidR="0074394D" w:rsidRPr="00BE61F0" w:rsidRDefault="00A75F45" w:rsidP="00DB36B5">
      <w:pPr>
        <w:pStyle w:val="Akapitzlist"/>
        <w:numPr>
          <w:ilvl w:val="0"/>
          <w:numId w:val="1"/>
        </w:numPr>
        <w:ind w:left="709"/>
        <w:jc w:val="both"/>
        <w:rPr>
          <w:rFonts w:ascii="Calibri" w:hAnsi="Calibri" w:cs="Calibri"/>
        </w:rPr>
      </w:pPr>
      <w:r w:rsidRPr="00BE61F0">
        <w:rPr>
          <w:rFonts w:ascii="Calibri" w:hAnsi="Calibri" w:cs="Calibri"/>
          <w:color w:val="000000" w:themeColor="text1"/>
        </w:rPr>
        <w:t>Wycena w podejściu porównawczym metodą porównania parami</w:t>
      </w:r>
      <w:r w:rsidR="00956C45" w:rsidRPr="00BE61F0">
        <w:rPr>
          <w:rFonts w:ascii="Calibri" w:hAnsi="Calibri" w:cs="Calibri"/>
          <w:color w:val="000000" w:themeColor="text1"/>
        </w:rPr>
        <w:t>.</w:t>
      </w:r>
    </w:p>
    <w:p w14:paraId="0B62B3A6" w14:textId="382CD03D" w:rsidR="00DB36B5" w:rsidRPr="00BE61F0" w:rsidRDefault="000D02B2" w:rsidP="00AD34C6">
      <w:pPr>
        <w:pStyle w:val="Akapitzlist"/>
        <w:ind w:left="709"/>
        <w:jc w:val="both"/>
        <w:rPr>
          <w:rFonts w:ascii="Calibri" w:hAnsi="Calibri" w:cs="Calibri"/>
        </w:rPr>
      </w:pPr>
      <w:r w:rsidRPr="00BE61F0">
        <w:rPr>
          <w:rFonts w:ascii="Calibri" w:hAnsi="Calibri" w:cs="Calibri"/>
        </w:rPr>
        <w:t>Podejście to stosuje się w oparciu o analizę rynku wtórnego</w:t>
      </w:r>
      <w:r w:rsidR="007E24E4" w:rsidRPr="00BE61F0">
        <w:rPr>
          <w:rFonts w:ascii="Calibri" w:hAnsi="Calibri" w:cs="Calibri"/>
        </w:rPr>
        <w:t>.</w:t>
      </w:r>
      <w:r w:rsidR="00DB36B5" w:rsidRPr="00BE61F0">
        <w:rPr>
          <w:rFonts w:ascii="Calibri" w:hAnsi="Calibri" w:cs="Calibri"/>
        </w:rPr>
        <w:t xml:space="preserve"> </w:t>
      </w:r>
      <w:r w:rsidR="00ED6EA1" w:rsidRPr="00BE61F0">
        <w:rPr>
          <w:rFonts w:ascii="Calibri" w:hAnsi="Calibri" w:cs="Calibri"/>
        </w:rPr>
        <w:t>Oszacowanie wartości</w:t>
      </w:r>
      <w:r w:rsidR="00164AB2" w:rsidRPr="00BE61F0">
        <w:rPr>
          <w:rFonts w:ascii="Calibri" w:hAnsi="Calibri" w:cs="Calibri"/>
        </w:rPr>
        <w:t xml:space="preserve"> przedmiotu wyceny bazuje na znajomości cen ofertowych takich samych </w:t>
      </w:r>
      <w:r w:rsidR="00AD34C6" w:rsidRPr="00BE61F0">
        <w:rPr>
          <w:rFonts w:ascii="Calibri" w:hAnsi="Calibri" w:cs="Calibri"/>
        </w:rPr>
        <w:t>urządzeń</w:t>
      </w:r>
      <w:r w:rsidR="00164AB2" w:rsidRPr="00BE61F0">
        <w:rPr>
          <w:rFonts w:ascii="Calibri" w:hAnsi="Calibri" w:cs="Calibri"/>
        </w:rPr>
        <w:t>.</w:t>
      </w:r>
      <w:r w:rsidR="00AD34C6" w:rsidRPr="00BE61F0">
        <w:rPr>
          <w:rFonts w:ascii="Calibri" w:hAnsi="Calibri" w:cs="Calibri"/>
        </w:rPr>
        <w:br/>
      </w:r>
      <w:r w:rsidR="00A2634E" w:rsidRPr="00BE61F0">
        <w:rPr>
          <w:rFonts w:ascii="Calibri" w:hAnsi="Calibri" w:cs="Calibri"/>
        </w:rPr>
        <w:t xml:space="preserve">W związku z tym, że nie jest możliwa bezpośrednia ocena stanu technicznego przedmiotu wyceny, a urządzenie było użytkowane (nie było zbędnym lub zużytym składnikiem rzeczowym majątku ruchomego), przyjmuje się stan techniczny jako </w:t>
      </w:r>
      <w:r w:rsidR="00964C2F" w:rsidRPr="00BE61F0">
        <w:rPr>
          <w:rFonts w:ascii="Calibri" w:hAnsi="Calibri" w:cs="Calibri"/>
        </w:rPr>
        <w:t xml:space="preserve">co najmniej </w:t>
      </w:r>
      <w:r w:rsidR="00A2634E" w:rsidRPr="00BE61F0">
        <w:rPr>
          <w:rFonts w:ascii="Calibri" w:hAnsi="Calibri" w:cs="Calibri"/>
        </w:rPr>
        <w:t>dobry.</w:t>
      </w:r>
      <w:r w:rsidR="00DB36B5" w:rsidRPr="00BE61F0">
        <w:rPr>
          <w:rFonts w:ascii="Calibri" w:hAnsi="Calibri" w:cs="Calibri"/>
        </w:rPr>
        <w:t xml:space="preserve"> </w:t>
      </w:r>
      <w:r w:rsidR="00DB36B5" w:rsidRPr="00BE61F0">
        <w:rPr>
          <w:rFonts w:ascii="Calibri" w:hAnsi="Calibri" w:cs="Calibri"/>
          <w:color w:val="000000" w:themeColor="text1"/>
        </w:rPr>
        <w:t xml:space="preserve">Zastosowanie metody porównawczej wymaga wskazania </w:t>
      </w:r>
      <w:r w:rsidR="00684C30" w:rsidRPr="00BE61F0">
        <w:rPr>
          <w:rFonts w:ascii="Calibri" w:hAnsi="Calibri" w:cs="Calibri"/>
          <w:color w:val="000000" w:themeColor="text1"/>
        </w:rPr>
        <w:t>minimum trzech ofert sprzedaży,</w:t>
      </w:r>
      <w:r w:rsidR="00AD34C6" w:rsidRPr="00BE61F0">
        <w:rPr>
          <w:rFonts w:ascii="Calibri" w:hAnsi="Calibri" w:cs="Calibri"/>
          <w:color w:val="000000" w:themeColor="text1"/>
        </w:rPr>
        <w:t xml:space="preserve"> </w:t>
      </w:r>
      <w:r w:rsidR="00684C30" w:rsidRPr="00BE61F0">
        <w:rPr>
          <w:rFonts w:ascii="Calibri" w:hAnsi="Calibri" w:cs="Calibri"/>
          <w:color w:val="000000" w:themeColor="text1"/>
        </w:rPr>
        <w:t>z których należy wyciągnąć średnią arytmetyczną</w:t>
      </w:r>
      <w:r w:rsidR="005F612A" w:rsidRPr="00BE61F0">
        <w:rPr>
          <w:rFonts w:ascii="Calibri" w:hAnsi="Calibri" w:cs="Calibri"/>
          <w:color w:val="000000" w:themeColor="text1"/>
        </w:rPr>
        <w:t>.</w:t>
      </w:r>
      <w:r w:rsidR="00684C30" w:rsidRPr="00BE61F0">
        <w:rPr>
          <w:rFonts w:ascii="Calibri" w:hAnsi="Calibri" w:cs="Calibri"/>
          <w:color w:val="000000" w:themeColor="text1"/>
        </w:rPr>
        <w:t xml:space="preserve"> </w:t>
      </w:r>
      <w:r w:rsidR="005F612A" w:rsidRPr="00BE61F0">
        <w:rPr>
          <w:rFonts w:ascii="Calibri" w:hAnsi="Calibri" w:cs="Calibri"/>
          <w:color w:val="000000" w:themeColor="text1"/>
        </w:rPr>
        <w:t>W</w:t>
      </w:r>
      <w:r w:rsidR="00684C30" w:rsidRPr="00BE61F0">
        <w:rPr>
          <w:rFonts w:ascii="Calibri" w:hAnsi="Calibri" w:cs="Calibri"/>
          <w:color w:val="000000" w:themeColor="text1"/>
        </w:rPr>
        <w:t xml:space="preserve">artość ta stanowi </w:t>
      </w:r>
      <w:r w:rsidR="005F612A" w:rsidRPr="00BE61F0">
        <w:rPr>
          <w:rFonts w:ascii="Calibri" w:hAnsi="Calibri" w:cs="Calibri"/>
          <w:color w:val="000000" w:themeColor="text1"/>
        </w:rPr>
        <w:t xml:space="preserve">szacunkową </w:t>
      </w:r>
      <w:r w:rsidR="00684C30" w:rsidRPr="00BE61F0">
        <w:rPr>
          <w:rFonts w:ascii="Calibri" w:hAnsi="Calibri" w:cs="Calibri"/>
          <w:color w:val="000000" w:themeColor="text1"/>
        </w:rPr>
        <w:t xml:space="preserve">wartość </w:t>
      </w:r>
      <w:r w:rsidR="0074394D" w:rsidRPr="00BE61F0">
        <w:rPr>
          <w:rFonts w:ascii="Calibri" w:hAnsi="Calibri" w:cs="Calibri"/>
          <w:color w:val="000000" w:themeColor="text1"/>
        </w:rPr>
        <w:t>urządzenia.</w:t>
      </w:r>
    </w:p>
    <w:p w14:paraId="588EC7CD" w14:textId="77777777" w:rsidR="0074394D" w:rsidRPr="00BE61F0" w:rsidRDefault="0074394D" w:rsidP="00DB36B5">
      <w:pPr>
        <w:pStyle w:val="Akapitzlist"/>
        <w:ind w:left="709"/>
        <w:jc w:val="both"/>
        <w:rPr>
          <w:rFonts w:ascii="Calibri" w:hAnsi="Calibri" w:cs="Calibri"/>
        </w:rPr>
      </w:pPr>
    </w:p>
    <w:p w14:paraId="414357BB" w14:textId="77777777" w:rsidR="0074394D" w:rsidRPr="00BE61F0" w:rsidRDefault="005A6F87" w:rsidP="0074394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Wycena w p</w:t>
      </w:r>
      <w:r w:rsidR="00F61C26" w:rsidRPr="00BE61F0">
        <w:rPr>
          <w:rFonts w:ascii="Calibri" w:hAnsi="Calibri" w:cs="Calibri"/>
          <w:color w:val="000000" w:themeColor="text1"/>
        </w:rPr>
        <w:t>odejści</w:t>
      </w:r>
      <w:r w:rsidRPr="00BE61F0">
        <w:rPr>
          <w:rFonts w:ascii="Calibri" w:hAnsi="Calibri" w:cs="Calibri"/>
          <w:color w:val="000000" w:themeColor="text1"/>
        </w:rPr>
        <w:t>u</w:t>
      </w:r>
      <w:r w:rsidR="00F61C26" w:rsidRPr="00BE61F0">
        <w:rPr>
          <w:rFonts w:ascii="Calibri" w:hAnsi="Calibri" w:cs="Calibri"/>
          <w:color w:val="000000" w:themeColor="text1"/>
        </w:rPr>
        <w:t xml:space="preserve"> kosztow</w:t>
      </w:r>
      <w:r w:rsidRPr="00BE61F0">
        <w:rPr>
          <w:rFonts w:ascii="Calibri" w:hAnsi="Calibri" w:cs="Calibri"/>
          <w:color w:val="000000" w:themeColor="text1"/>
        </w:rPr>
        <w:t>ym.</w:t>
      </w:r>
    </w:p>
    <w:p w14:paraId="163AD90A" w14:textId="329B252D" w:rsidR="005A6F87" w:rsidRPr="00BE61F0" w:rsidRDefault="005A6F87" w:rsidP="0074394D">
      <w:pPr>
        <w:pStyle w:val="Akapitzlist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Podejście kosztowe będzie stosowane wyłącznie w przypadku braku </w:t>
      </w:r>
      <w:r w:rsidR="0074394D" w:rsidRPr="00BE61F0">
        <w:rPr>
          <w:rFonts w:ascii="Calibri" w:hAnsi="Calibri" w:cs="Calibri"/>
          <w:color w:val="000000" w:themeColor="text1"/>
        </w:rPr>
        <w:t>możliwości skorzystania</w:t>
      </w:r>
      <w:r w:rsidR="009A479D">
        <w:rPr>
          <w:rFonts w:ascii="Calibri" w:hAnsi="Calibri" w:cs="Calibri"/>
          <w:color w:val="000000" w:themeColor="text1"/>
        </w:rPr>
        <w:br/>
      </w:r>
      <w:r w:rsidR="00AD34C6" w:rsidRPr="00BE61F0">
        <w:rPr>
          <w:rFonts w:ascii="Calibri" w:hAnsi="Calibri" w:cs="Calibri"/>
          <w:color w:val="000000" w:themeColor="text1"/>
        </w:rPr>
        <w:t xml:space="preserve"> </w:t>
      </w:r>
      <w:r w:rsidR="0074394D" w:rsidRPr="00BE61F0">
        <w:rPr>
          <w:rFonts w:ascii="Calibri" w:hAnsi="Calibri" w:cs="Calibri"/>
          <w:color w:val="000000" w:themeColor="text1"/>
        </w:rPr>
        <w:t xml:space="preserve">z metody porównawczej. </w:t>
      </w:r>
    </w:p>
    <w:p w14:paraId="25842FCC" w14:textId="2ECA8301" w:rsidR="005A6F87" w:rsidRPr="00BE61F0" w:rsidRDefault="005A6F87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Oszacowanie wartości </w:t>
      </w:r>
      <w:bookmarkStart w:id="1" w:name="_Hlk192141903"/>
      <w:r w:rsidRPr="00BE61F0">
        <w:rPr>
          <w:rFonts w:ascii="Calibri" w:hAnsi="Calibri" w:cs="Calibri"/>
          <w:color w:val="000000" w:themeColor="text1"/>
        </w:rPr>
        <w:t xml:space="preserve">przedmiotu wyceny </w:t>
      </w:r>
      <w:bookmarkEnd w:id="1"/>
      <w:r w:rsidRPr="00BE61F0">
        <w:rPr>
          <w:rFonts w:ascii="Calibri" w:hAnsi="Calibri" w:cs="Calibri"/>
          <w:color w:val="000000" w:themeColor="text1"/>
        </w:rPr>
        <w:t>wykonano przy zastosowaniu podejścia kosztowego metodą kosztów zastąpienia.</w:t>
      </w:r>
    </w:p>
    <w:p w14:paraId="688DEFB6" w14:textId="77777777" w:rsidR="003575E4" w:rsidRPr="00BE61F0" w:rsidRDefault="003575E4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Utratę wartości środka technicznego stanowi zmniejszenie jego wartości na skutek następujących przyczyn:</w:t>
      </w:r>
    </w:p>
    <w:p w14:paraId="28320803" w14:textId="767D0FA1" w:rsidR="003575E4" w:rsidRPr="00BE61F0" w:rsidRDefault="003575E4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1. </w:t>
      </w:r>
      <w:r w:rsidR="00581FE3" w:rsidRPr="00BE61F0">
        <w:rPr>
          <w:rFonts w:ascii="Calibri" w:hAnsi="Calibri" w:cs="Calibri"/>
          <w:color w:val="000000" w:themeColor="text1"/>
        </w:rPr>
        <w:t>zużycie</w:t>
      </w:r>
      <w:r w:rsidRPr="00BE61F0">
        <w:rPr>
          <w:rFonts w:ascii="Calibri" w:hAnsi="Calibri" w:cs="Calibri"/>
          <w:color w:val="000000" w:themeColor="text1"/>
        </w:rPr>
        <w:t>;</w:t>
      </w:r>
    </w:p>
    <w:p w14:paraId="226A2E56" w14:textId="65485D11" w:rsidR="003575E4" w:rsidRPr="00BE61F0" w:rsidRDefault="003575E4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2. </w:t>
      </w:r>
      <w:r w:rsidR="00581FE3" w:rsidRPr="00BE61F0">
        <w:rPr>
          <w:rFonts w:ascii="Calibri" w:hAnsi="Calibri" w:cs="Calibri"/>
          <w:color w:val="000000" w:themeColor="text1"/>
        </w:rPr>
        <w:t>współczynnik nowoczesności</w:t>
      </w:r>
      <w:r w:rsidR="005F612A" w:rsidRPr="00BE61F0">
        <w:rPr>
          <w:rFonts w:ascii="Calibri" w:hAnsi="Calibri" w:cs="Calibri"/>
          <w:color w:val="000000" w:themeColor="text1"/>
        </w:rPr>
        <w:t>.</w:t>
      </w:r>
    </w:p>
    <w:p w14:paraId="73873C93" w14:textId="2CDFBA12" w:rsidR="00BB1C0D" w:rsidRPr="00BE61F0" w:rsidRDefault="00BB1C0D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Do </w:t>
      </w:r>
      <w:r w:rsidR="008C2027" w:rsidRPr="00BE61F0">
        <w:rPr>
          <w:rFonts w:ascii="Calibri" w:hAnsi="Calibri" w:cs="Calibri"/>
          <w:color w:val="000000" w:themeColor="text1"/>
        </w:rPr>
        <w:t xml:space="preserve">określenia </w:t>
      </w:r>
      <w:r w:rsidR="00581FE3" w:rsidRPr="00BE61F0">
        <w:rPr>
          <w:rFonts w:ascii="Calibri" w:hAnsi="Calibri" w:cs="Calibri"/>
        </w:rPr>
        <w:t>szacunkowej</w:t>
      </w:r>
      <w:r w:rsidRPr="00BE61F0">
        <w:rPr>
          <w:rFonts w:ascii="Calibri" w:hAnsi="Calibri" w:cs="Calibri"/>
          <w:color w:val="000000" w:themeColor="text1"/>
        </w:rPr>
        <w:t xml:space="preserve"> wartości </w:t>
      </w:r>
      <w:r w:rsidR="008C2027" w:rsidRPr="00BE61F0">
        <w:rPr>
          <w:rFonts w:ascii="Calibri" w:hAnsi="Calibri" w:cs="Calibri"/>
          <w:color w:val="000000" w:themeColor="text1"/>
        </w:rPr>
        <w:t xml:space="preserve">przedmiotu wyceny </w:t>
      </w:r>
      <w:r w:rsidRPr="00BE61F0">
        <w:rPr>
          <w:rFonts w:ascii="Calibri" w:hAnsi="Calibri" w:cs="Calibri"/>
          <w:color w:val="000000" w:themeColor="text1"/>
        </w:rPr>
        <w:t>zastosowano formułę:</w:t>
      </w:r>
    </w:p>
    <w:p w14:paraId="78EC0F67" w14:textId="16D6F1CF" w:rsidR="00BB1C0D" w:rsidRPr="00BE61F0" w:rsidRDefault="005F612A" w:rsidP="00DB36B5">
      <w:pPr>
        <w:ind w:left="709"/>
        <w:jc w:val="both"/>
        <w:rPr>
          <w:rFonts w:ascii="Calibri" w:hAnsi="Calibri" w:cs="Calibri"/>
          <w:b/>
          <w:bCs/>
          <w:color w:val="000000" w:themeColor="text1"/>
        </w:rPr>
      </w:pPr>
      <w:r w:rsidRPr="00BE61F0">
        <w:rPr>
          <w:rFonts w:ascii="Calibri" w:hAnsi="Calibri" w:cs="Calibri"/>
          <w:b/>
          <w:bCs/>
          <w:color w:val="000000" w:themeColor="text1"/>
        </w:rPr>
        <w:t>Wsz</w:t>
      </w:r>
      <w:r w:rsidR="00BB1C0D" w:rsidRPr="00BE61F0">
        <w:rPr>
          <w:rFonts w:ascii="Calibri" w:hAnsi="Calibri" w:cs="Calibri"/>
          <w:b/>
          <w:bCs/>
          <w:color w:val="000000" w:themeColor="text1"/>
        </w:rPr>
        <w:t xml:space="preserve"> = Wp x </w:t>
      </w:r>
      <w:r w:rsidR="00040238" w:rsidRPr="00BE61F0">
        <w:rPr>
          <w:rFonts w:ascii="Calibri" w:hAnsi="Calibri" w:cs="Calibri"/>
          <w:b/>
          <w:bCs/>
          <w:color w:val="000000" w:themeColor="text1"/>
        </w:rPr>
        <w:t>(1-</w:t>
      </w:r>
      <w:r w:rsidR="00D45FCF" w:rsidRPr="00BE61F0">
        <w:rPr>
          <w:rFonts w:ascii="Calibri" w:hAnsi="Calibri" w:cs="Calibri"/>
          <w:b/>
          <w:bCs/>
          <w:color w:val="000000" w:themeColor="text1"/>
        </w:rPr>
        <w:t>Z</w:t>
      </w:r>
      <w:r w:rsidR="00040238" w:rsidRPr="00BE61F0">
        <w:rPr>
          <w:rFonts w:ascii="Calibri" w:hAnsi="Calibri" w:cs="Calibri"/>
          <w:b/>
          <w:bCs/>
          <w:color w:val="000000" w:themeColor="text1"/>
        </w:rPr>
        <w:t>)</w:t>
      </w:r>
      <w:r w:rsidR="00BB1C0D" w:rsidRPr="00BE61F0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BE61F0">
        <w:rPr>
          <w:rFonts w:ascii="Calibri" w:hAnsi="Calibri" w:cs="Calibri"/>
          <w:b/>
          <w:bCs/>
          <w:color w:val="000000" w:themeColor="text1"/>
        </w:rPr>
        <w:t>x Wn</w:t>
      </w:r>
    </w:p>
    <w:p w14:paraId="1317E6BF" w14:textId="78E7BA4E" w:rsidR="00BB1C0D" w:rsidRPr="00BE61F0" w:rsidRDefault="005F612A" w:rsidP="005F612A">
      <w:pPr>
        <w:ind w:firstLine="708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Wsz</w:t>
      </w:r>
      <w:r w:rsidR="00BB1C0D" w:rsidRPr="00BE61F0">
        <w:rPr>
          <w:rFonts w:ascii="Calibri" w:hAnsi="Calibri" w:cs="Calibri"/>
          <w:color w:val="000000" w:themeColor="text1"/>
        </w:rPr>
        <w:t xml:space="preserve"> – wartość </w:t>
      </w:r>
      <w:r w:rsidR="00581FE3" w:rsidRPr="00BE61F0">
        <w:rPr>
          <w:rFonts w:ascii="Calibri" w:hAnsi="Calibri" w:cs="Calibri"/>
        </w:rPr>
        <w:t>szacunkowa</w:t>
      </w:r>
      <w:r w:rsidR="00125F27" w:rsidRPr="00BE61F0">
        <w:rPr>
          <w:rFonts w:ascii="Calibri" w:hAnsi="Calibri" w:cs="Calibri"/>
          <w:color w:val="000000" w:themeColor="text1"/>
        </w:rPr>
        <w:t xml:space="preserve"> przedmiotu wyceny</w:t>
      </w:r>
      <w:r w:rsidR="00BB1C0D" w:rsidRPr="00BE61F0">
        <w:rPr>
          <w:rFonts w:ascii="Calibri" w:hAnsi="Calibri" w:cs="Calibri"/>
          <w:color w:val="000000" w:themeColor="text1"/>
        </w:rPr>
        <w:t>,</w:t>
      </w:r>
      <w:r w:rsidR="00BB1C0D" w:rsidRPr="00BE61F0">
        <w:rPr>
          <w:rFonts w:ascii="Calibri" w:hAnsi="Calibri" w:cs="Calibri"/>
          <w:color w:val="000000" w:themeColor="text1"/>
        </w:rPr>
        <w:tab/>
      </w:r>
    </w:p>
    <w:p w14:paraId="16FBD879" w14:textId="6BCBC3B7" w:rsidR="00BB1C0D" w:rsidRPr="00BE61F0" w:rsidRDefault="00BB1C0D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Wp – wartość początkowa urządzenia </w:t>
      </w:r>
      <w:r w:rsidR="00AD34C6" w:rsidRPr="00BE61F0">
        <w:rPr>
          <w:rFonts w:ascii="Calibri" w:hAnsi="Calibri" w:cs="Calibri"/>
          <w:color w:val="000000" w:themeColor="text1"/>
        </w:rPr>
        <w:t>(ewidencyjna)</w:t>
      </w:r>
      <w:r w:rsidR="00EA6F8B" w:rsidRPr="00BE61F0">
        <w:rPr>
          <w:rFonts w:ascii="Calibri" w:hAnsi="Calibri" w:cs="Calibri"/>
          <w:color w:val="000000" w:themeColor="text1"/>
        </w:rPr>
        <w:t>,</w:t>
      </w:r>
    </w:p>
    <w:p w14:paraId="56AC5E71" w14:textId="1972BD0F" w:rsidR="00BB1C0D" w:rsidRPr="00BE61F0" w:rsidRDefault="00D45FCF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Z</w:t>
      </w:r>
      <w:r w:rsidR="00BB1C0D" w:rsidRPr="00BE61F0">
        <w:rPr>
          <w:rFonts w:ascii="Calibri" w:hAnsi="Calibri" w:cs="Calibri"/>
          <w:color w:val="000000" w:themeColor="text1"/>
        </w:rPr>
        <w:t xml:space="preserve"> – </w:t>
      </w:r>
      <w:bookmarkStart w:id="2" w:name="_Hlk191466693"/>
      <w:r w:rsidR="00BB1C0D" w:rsidRPr="00BE61F0">
        <w:rPr>
          <w:rFonts w:ascii="Calibri" w:hAnsi="Calibri" w:cs="Calibri"/>
          <w:color w:val="000000" w:themeColor="text1"/>
        </w:rPr>
        <w:t xml:space="preserve">stopień zużycia </w:t>
      </w:r>
      <w:bookmarkEnd w:id="2"/>
    </w:p>
    <w:p w14:paraId="61CBAD28" w14:textId="58AD6938" w:rsidR="005F612A" w:rsidRPr="00BE61F0" w:rsidRDefault="005F612A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Wn – współczynnik nowoczesności</w:t>
      </w:r>
    </w:p>
    <w:p w14:paraId="1F95E830" w14:textId="2A5148C1" w:rsidR="00B77B3F" w:rsidRPr="00BE61F0" w:rsidRDefault="00B77B3F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Stopień zużycia wyrażony </w:t>
      </w:r>
      <w:r w:rsidR="00040238" w:rsidRPr="00BE61F0">
        <w:rPr>
          <w:rFonts w:ascii="Calibri" w:hAnsi="Calibri" w:cs="Calibri"/>
          <w:color w:val="000000" w:themeColor="text1"/>
        </w:rPr>
        <w:t xml:space="preserve">jest </w:t>
      </w:r>
      <w:r w:rsidRPr="00BE61F0">
        <w:rPr>
          <w:rFonts w:ascii="Calibri" w:hAnsi="Calibri" w:cs="Calibri"/>
          <w:color w:val="000000" w:themeColor="text1"/>
        </w:rPr>
        <w:t>w %.</w:t>
      </w:r>
    </w:p>
    <w:p w14:paraId="3A89579D" w14:textId="27C590C9" w:rsidR="009C0574" w:rsidRPr="00BE61F0" w:rsidRDefault="009C0574" w:rsidP="009C0574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5 - 10 % - gdy środek techniczny jest nowy lub prawie nieużywany,</w:t>
      </w:r>
    </w:p>
    <w:p w14:paraId="20F21AD8" w14:textId="7CC96361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lastRenderedPageBreak/>
        <w:t>15 – 30 % - środek techniczny w bardzo dobrym stanie, lub w początkowym stadium eksploatacji,</w:t>
      </w:r>
    </w:p>
    <w:p w14:paraId="2E0DD930" w14:textId="5526185E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35 – 40 % - środek techniczny w dobrym stanie, przydatny do dalszego użytkowania bez konieczności dokonywania napraw,</w:t>
      </w:r>
    </w:p>
    <w:p w14:paraId="335DF4BF" w14:textId="5DBDE9F9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45 – 50 % - środek techniczny eksploatowany, przydatny do dalszego użytkowania, kwalifikuje się do przeglądu, regulacji, lub naprawy bieżącej,</w:t>
      </w:r>
    </w:p>
    <w:p w14:paraId="5CE00471" w14:textId="3170AF2D" w:rsidR="009C0574" w:rsidRPr="00BE61F0" w:rsidRDefault="009C0574" w:rsidP="00CB06BE">
      <w:pPr>
        <w:ind w:left="708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55 – 60 % - środek techniczny użytkowany, kwalifikuje się do naprawy głównej</w:t>
      </w:r>
      <w:r w:rsidR="009A1EA3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w ograniczonym zakresie z wymiana elementów lub podzespołów,</w:t>
      </w:r>
    </w:p>
    <w:p w14:paraId="2460D193" w14:textId="733DFD0F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65 – 70 % - środek techniczny użytkowany, kwalifikuje się do kolejnej naprawy głównej </w:t>
      </w:r>
      <w:r w:rsidR="00CB06BE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w ograniczonym zakresie lub do pierwszej naprawy głównej z wymianą elementów</w:t>
      </w:r>
      <w:r w:rsidR="009A1EA3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i podzespołów w szerokim zakresie,</w:t>
      </w:r>
    </w:p>
    <w:p w14:paraId="2F0474DA" w14:textId="242736A9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80 – 90 % - środek techniczny niezdatny do użytkowania, podejmowanie naprawy może nie mieć technicznego uzasadnienia, niektóre zespoły (podzespoły, elementy) kwalifikują się do wykorzystania w innym środku technicznym</w:t>
      </w:r>
      <w:r w:rsidR="005F612A" w:rsidRPr="00BE61F0">
        <w:rPr>
          <w:rFonts w:ascii="Calibri" w:hAnsi="Calibri" w:cs="Calibri"/>
          <w:color w:val="000000" w:themeColor="text1"/>
        </w:rPr>
        <w:t>,</w:t>
      </w:r>
    </w:p>
    <w:p w14:paraId="7B7E7B30" w14:textId="2F06718B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95 % - środek techniczny nie kwalifikuje się do użytkowania ani do naprawy</w:t>
      </w:r>
      <w:r w:rsidR="009A1EA3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o charakterze odbudowy, nadaje się do złomowania.</w:t>
      </w:r>
    </w:p>
    <w:p w14:paraId="0B60D89A" w14:textId="1E02894D" w:rsidR="009C0574" w:rsidRPr="00BE61F0" w:rsidRDefault="009C0574" w:rsidP="009C0574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Dla sprawnego sprzętu &gt;= 5 lat </w:t>
      </w:r>
      <w:r w:rsidR="00CB06BE" w:rsidRPr="00BE61F0">
        <w:rPr>
          <w:rFonts w:ascii="Calibri" w:hAnsi="Calibri" w:cs="Calibri"/>
          <w:color w:val="000000" w:themeColor="text1"/>
        </w:rPr>
        <w:t>przyjmuje się</w:t>
      </w:r>
      <w:r w:rsidRPr="00BE61F0">
        <w:rPr>
          <w:rFonts w:ascii="Calibri" w:hAnsi="Calibri" w:cs="Calibri"/>
          <w:color w:val="000000" w:themeColor="text1"/>
        </w:rPr>
        <w:t xml:space="preserve"> współczynnik = 0,5</w:t>
      </w:r>
    </w:p>
    <w:p w14:paraId="3666D60C" w14:textId="1E170081" w:rsidR="00CB06BE" w:rsidRPr="00BE61F0" w:rsidRDefault="00CB06BE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Współczynnik Nowoczesności</w:t>
      </w:r>
    </w:p>
    <w:p w14:paraId="012CEB62" w14:textId="0FFF2035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1,0 - maszyny nowoczesne, o wysokiej wydajności i efektywności eksploatacji, porównywalne</w:t>
      </w:r>
      <w:r w:rsidRPr="00BE61F0">
        <w:rPr>
          <w:rFonts w:ascii="Calibri" w:hAnsi="Calibri" w:cs="Calibri"/>
          <w:color w:val="000000" w:themeColor="text1"/>
        </w:rPr>
        <w:br/>
        <w:t>z maszynami czołowych producentów zagranicznych,</w:t>
      </w:r>
    </w:p>
    <w:p w14:paraId="334EBF88" w14:textId="77777777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0,7 – 0,9 - maszyny o średnim poziomie nowoczesności konstrukcji,</w:t>
      </w:r>
    </w:p>
    <w:p w14:paraId="6F168F55" w14:textId="4F744320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0,3 – 0,6 - maszyny nienowoczesne, wycofane z produkcji, niechodliwe,</w:t>
      </w:r>
    </w:p>
    <w:p w14:paraId="6D82C53A" w14:textId="4F075423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Dla sprawnego sprzętu &gt;= 5 lat przyjmuje się współczynnik = 0,3</w:t>
      </w:r>
      <w:r w:rsidR="005F612A" w:rsidRPr="00BE61F0">
        <w:rPr>
          <w:rFonts w:ascii="Calibri" w:hAnsi="Calibri" w:cs="Calibri"/>
          <w:color w:val="000000" w:themeColor="text1"/>
        </w:rPr>
        <w:t>.</w:t>
      </w:r>
    </w:p>
    <w:p w14:paraId="24BA4606" w14:textId="50275168" w:rsidR="005F612A" w:rsidRPr="00BE61F0" w:rsidRDefault="005F612A" w:rsidP="005F612A">
      <w:pPr>
        <w:ind w:left="708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W związku z tym, że nie jest możliwa bezpośrednia ocena stanu technicznego przedmiotu wyceny, a urządzenie było użytkowane (nie było zbędnym lub zużytym składnikiem rzeczowym majątku ruchomego), przyjmuje się stan techniczny jako co najmniej dobry. </w:t>
      </w:r>
    </w:p>
    <w:p w14:paraId="48DD9CE0" w14:textId="77777777" w:rsidR="00247A09" w:rsidRDefault="00247A09" w:rsidP="00247A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</w:p>
    <w:p w14:paraId="7F856BB1" w14:textId="2BF3F3D2" w:rsidR="00247A09" w:rsidRPr="00247A09" w:rsidRDefault="00247A09" w:rsidP="00247A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Wycenę wartości hipotetycznej </w:t>
      </w:r>
      <w:r w:rsidRPr="00247A09">
        <w:rPr>
          <w:rFonts w:ascii="Calibri" w:hAnsi="Calibri" w:cs="Calibri"/>
          <w:szCs w:val="24"/>
        </w:rPr>
        <w:t>sporządzają:</w:t>
      </w:r>
    </w:p>
    <w:p w14:paraId="3C815F36" w14:textId="60E5936A" w:rsidR="00247A09" w:rsidRDefault="00247A09" w:rsidP="00247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DD724B">
        <w:rPr>
          <w:rFonts w:ascii="Calibri" w:hAnsi="Calibri" w:cs="Calibri"/>
          <w:szCs w:val="24"/>
        </w:rPr>
        <w:t>dla sprzętu komputerowego podlegającego ewidencji</w:t>
      </w:r>
      <w:r w:rsidR="001D3E47">
        <w:rPr>
          <w:rFonts w:ascii="Calibri" w:hAnsi="Calibri" w:cs="Calibri"/>
          <w:szCs w:val="24"/>
        </w:rPr>
        <w:t xml:space="preserve"> </w:t>
      </w:r>
      <w:r w:rsidRPr="00DD724B">
        <w:rPr>
          <w:rFonts w:ascii="Calibri" w:hAnsi="Calibri" w:cs="Calibri"/>
          <w:szCs w:val="24"/>
        </w:rPr>
        <w:t>w systemie Simple.ERP – Centrum Informatyczne,</w:t>
      </w:r>
    </w:p>
    <w:p w14:paraId="4A2E6279" w14:textId="6B7C08F0" w:rsidR="00247A09" w:rsidRPr="00247A09" w:rsidRDefault="00247A09" w:rsidP="00247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247A09">
        <w:rPr>
          <w:rFonts w:ascii="Calibri" w:hAnsi="Calibri" w:cs="Calibri"/>
        </w:rPr>
        <w:t>dla pozostałego sprzętu elektronicznego, elektrycznego i aparatury – Dział Serwisu Technicznego</w:t>
      </w:r>
      <w:r>
        <w:rPr>
          <w:rFonts w:ascii="Calibri" w:hAnsi="Calibri" w:cs="Calibri"/>
        </w:rPr>
        <w:t>.</w:t>
      </w:r>
    </w:p>
    <w:p w14:paraId="2890B4E4" w14:textId="186BC16A" w:rsidR="00CB06BE" w:rsidRPr="00BE61F0" w:rsidRDefault="00CB06BE" w:rsidP="00DB36B5">
      <w:pPr>
        <w:ind w:left="709"/>
        <w:jc w:val="both"/>
        <w:rPr>
          <w:rFonts w:ascii="Calibri" w:hAnsi="Calibri" w:cs="Calibri"/>
          <w:color w:val="000000" w:themeColor="text1"/>
        </w:rPr>
      </w:pPr>
    </w:p>
    <w:sectPr w:rsidR="00CB06BE" w:rsidRPr="00BE61F0" w:rsidSect="009A1E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3C6B" w14:textId="77777777" w:rsidR="002D028D" w:rsidRDefault="002D028D" w:rsidP="00247A09">
      <w:pPr>
        <w:spacing w:after="0" w:line="240" w:lineRule="auto"/>
      </w:pPr>
      <w:r>
        <w:separator/>
      </w:r>
    </w:p>
  </w:endnote>
  <w:endnote w:type="continuationSeparator" w:id="0">
    <w:p w14:paraId="3D30FDE6" w14:textId="77777777" w:rsidR="002D028D" w:rsidRDefault="002D028D" w:rsidP="0024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368D9" w14:textId="77777777" w:rsidR="002D028D" w:rsidRDefault="002D028D" w:rsidP="00247A09">
      <w:pPr>
        <w:spacing w:after="0" w:line="240" w:lineRule="auto"/>
      </w:pPr>
      <w:r>
        <w:separator/>
      </w:r>
    </w:p>
  </w:footnote>
  <w:footnote w:type="continuationSeparator" w:id="0">
    <w:p w14:paraId="493E19B9" w14:textId="77777777" w:rsidR="002D028D" w:rsidRDefault="002D028D" w:rsidP="0024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A15"/>
    <w:multiLevelType w:val="hybridMultilevel"/>
    <w:tmpl w:val="C5F4992E"/>
    <w:lvl w:ilvl="0" w:tplc="35AC5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1" w:tplc="0F3CB2C0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4"/>
        <w:u w:color="000000"/>
      </w:rPr>
    </w:lvl>
    <w:lvl w:ilvl="2" w:tplc="7E029A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6F5D"/>
    <w:multiLevelType w:val="hybridMultilevel"/>
    <w:tmpl w:val="DE227B2C"/>
    <w:lvl w:ilvl="0" w:tplc="35AC5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1" w:tplc="35AC599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23CD9"/>
    <w:multiLevelType w:val="hybridMultilevel"/>
    <w:tmpl w:val="3AEC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B74"/>
    <w:multiLevelType w:val="hybridMultilevel"/>
    <w:tmpl w:val="25A20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C72A5B"/>
    <w:multiLevelType w:val="hybridMultilevel"/>
    <w:tmpl w:val="20907B42"/>
    <w:lvl w:ilvl="0" w:tplc="6FFA66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2"/>
    <w:rsid w:val="00040238"/>
    <w:rsid w:val="000A0B3C"/>
    <w:rsid w:val="000C7F2E"/>
    <w:rsid w:val="000D02B2"/>
    <w:rsid w:val="000D2FCC"/>
    <w:rsid w:val="000E244C"/>
    <w:rsid w:val="000F22B0"/>
    <w:rsid w:val="00125F27"/>
    <w:rsid w:val="001426B0"/>
    <w:rsid w:val="00164AB2"/>
    <w:rsid w:val="001A4FA1"/>
    <w:rsid w:val="001A68AF"/>
    <w:rsid w:val="001D0BDD"/>
    <w:rsid w:val="001D3E47"/>
    <w:rsid w:val="001F6CAB"/>
    <w:rsid w:val="00203096"/>
    <w:rsid w:val="00247A09"/>
    <w:rsid w:val="002625C1"/>
    <w:rsid w:val="00286312"/>
    <w:rsid w:val="002A5505"/>
    <w:rsid w:val="002B058B"/>
    <w:rsid w:val="002D028D"/>
    <w:rsid w:val="00301ABD"/>
    <w:rsid w:val="003575E4"/>
    <w:rsid w:val="003A024A"/>
    <w:rsid w:val="003B047E"/>
    <w:rsid w:val="003D4D3D"/>
    <w:rsid w:val="004221E4"/>
    <w:rsid w:val="004962B2"/>
    <w:rsid w:val="004C648E"/>
    <w:rsid w:val="00503771"/>
    <w:rsid w:val="00581FE3"/>
    <w:rsid w:val="005A6F87"/>
    <w:rsid w:val="005C3C60"/>
    <w:rsid w:val="005F612A"/>
    <w:rsid w:val="006256CA"/>
    <w:rsid w:val="0065336D"/>
    <w:rsid w:val="006608B7"/>
    <w:rsid w:val="00670FA5"/>
    <w:rsid w:val="00684C30"/>
    <w:rsid w:val="00696405"/>
    <w:rsid w:val="006A0459"/>
    <w:rsid w:val="006A2682"/>
    <w:rsid w:val="006B08E4"/>
    <w:rsid w:val="006C305E"/>
    <w:rsid w:val="006D0297"/>
    <w:rsid w:val="0074394D"/>
    <w:rsid w:val="007E1A35"/>
    <w:rsid w:val="007E24E4"/>
    <w:rsid w:val="008C2027"/>
    <w:rsid w:val="008C2AB7"/>
    <w:rsid w:val="008E1584"/>
    <w:rsid w:val="008E7384"/>
    <w:rsid w:val="009239F2"/>
    <w:rsid w:val="00956C45"/>
    <w:rsid w:val="00964C2F"/>
    <w:rsid w:val="00965483"/>
    <w:rsid w:val="009A1EA3"/>
    <w:rsid w:val="009A479D"/>
    <w:rsid w:val="009C0574"/>
    <w:rsid w:val="009D65FD"/>
    <w:rsid w:val="009F5A23"/>
    <w:rsid w:val="009F72DE"/>
    <w:rsid w:val="009F77E2"/>
    <w:rsid w:val="00A2634E"/>
    <w:rsid w:val="00A366EA"/>
    <w:rsid w:val="00A75F45"/>
    <w:rsid w:val="00AC05B9"/>
    <w:rsid w:val="00AD34C6"/>
    <w:rsid w:val="00AF7E5F"/>
    <w:rsid w:val="00B2339E"/>
    <w:rsid w:val="00B754BB"/>
    <w:rsid w:val="00B77B3F"/>
    <w:rsid w:val="00B96DC8"/>
    <w:rsid w:val="00BA6F85"/>
    <w:rsid w:val="00BB1C0D"/>
    <w:rsid w:val="00BB350D"/>
    <w:rsid w:val="00BE61F0"/>
    <w:rsid w:val="00BF2E79"/>
    <w:rsid w:val="00C3008C"/>
    <w:rsid w:val="00C736D7"/>
    <w:rsid w:val="00CB06BE"/>
    <w:rsid w:val="00CC56C6"/>
    <w:rsid w:val="00D21281"/>
    <w:rsid w:val="00D45FCF"/>
    <w:rsid w:val="00D5729A"/>
    <w:rsid w:val="00D73900"/>
    <w:rsid w:val="00DB36B5"/>
    <w:rsid w:val="00DF38EA"/>
    <w:rsid w:val="00E1487E"/>
    <w:rsid w:val="00E46625"/>
    <w:rsid w:val="00E4783F"/>
    <w:rsid w:val="00E96B34"/>
    <w:rsid w:val="00EA6F8B"/>
    <w:rsid w:val="00ED6EA1"/>
    <w:rsid w:val="00F06590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C467"/>
  <w15:chartTrackingRefBased/>
  <w15:docId w15:val="{D83D19A7-9CDB-472D-B814-C22C1A2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F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A0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47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DA21-5168-42B8-9648-CAEA6E9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MMiędlar</cp:lastModifiedBy>
  <cp:revision>2</cp:revision>
  <cp:lastPrinted>2025-04-23T10:41:00Z</cp:lastPrinted>
  <dcterms:created xsi:type="dcterms:W3CDTF">2025-08-06T08:25:00Z</dcterms:created>
  <dcterms:modified xsi:type="dcterms:W3CDTF">2025-08-06T08:25:00Z</dcterms:modified>
</cp:coreProperties>
</file>