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D894" w14:textId="77777777" w:rsidR="0046328C" w:rsidRDefault="0046328C" w:rsidP="0046328C">
      <w:pPr>
        <w:spacing w:after="0" w:line="240" w:lineRule="auto"/>
        <w:ind w:left="4956"/>
        <w:rPr>
          <w:sz w:val="20"/>
          <w:szCs w:val="20"/>
        </w:rPr>
      </w:pPr>
      <w:bookmarkStart w:id="0" w:name="_Hlk202430502"/>
      <w:bookmarkStart w:id="1" w:name="_Hlk202939072"/>
      <w:r>
        <w:rPr>
          <w:sz w:val="20"/>
          <w:szCs w:val="20"/>
        </w:rPr>
        <w:t>Załącznik</w:t>
      </w:r>
    </w:p>
    <w:p w14:paraId="1A0C921D" w14:textId="68A74FB9" w:rsidR="0046328C" w:rsidRDefault="00575EB3" w:rsidP="0046328C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do zarządzenia nr  137</w:t>
      </w:r>
      <w:r w:rsidR="0046328C">
        <w:rPr>
          <w:sz w:val="20"/>
          <w:szCs w:val="20"/>
        </w:rPr>
        <w:t xml:space="preserve">/XVI R/2025  </w:t>
      </w:r>
    </w:p>
    <w:p w14:paraId="6F4E2F2F" w14:textId="77777777" w:rsidR="0046328C" w:rsidRDefault="0046328C" w:rsidP="0046328C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Rektora Uniwersytetu Medycznego we Wrocławiu </w:t>
      </w:r>
    </w:p>
    <w:p w14:paraId="0565A168" w14:textId="38B43FF1" w:rsidR="0046328C" w:rsidRDefault="00575EB3" w:rsidP="003D0A67">
      <w:pPr>
        <w:spacing w:after="0" w:line="360" w:lineRule="auto"/>
        <w:ind w:left="1986" w:firstLine="2977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 xml:space="preserve">z dnia 20 sierpnia </w:t>
      </w:r>
      <w:r w:rsidR="0046328C">
        <w:rPr>
          <w:sz w:val="20"/>
          <w:szCs w:val="20"/>
        </w:rPr>
        <w:t xml:space="preserve"> 2025 r</w:t>
      </w:r>
    </w:p>
    <w:p w14:paraId="1982A770" w14:textId="77777777" w:rsidR="0046328C" w:rsidRDefault="0046328C" w:rsidP="0046328C">
      <w:pPr>
        <w:spacing w:after="0" w:line="360" w:lineRule="auto"/>
        <w:ind w:firstLine="2977"/>
        <w:jc w:val="center"/>
        <w:rPr>
          <w:rFonts w:eastAsia="Times New Roman"/>
          <w:b/>
          <w:bCs/>
          <w:szCs w:val="24"/>
          <w:lang w:eastAsia="pl-PL"/>
        </w:rPr>
      </w:pPr>
    </w:p>
    <w:p w14:paraId="467216EC" w14:textId="7361AE38" w:rsidR="00732C51" w:rsidRDefault="00825ADD">
      <w:pPr>
        <w:spacing w:after="0" w:line="360" w:lineRule="auto"/>
        <w:jc w:val="center"/>
      </w:pPr>
      <w:r>
        <w:rPr>
          <w:rFonts w:eastAsia="Times New Roman"/>
          <w:b/>
          <w:bCs/>
          <w:szCs w:val="24"/>
          <w:lang w:eastAsia="pl-PL"/>
        </w:rPr>
        <w:t xml:space="preserve">Regulamin finansowania działania „Nanogranty” dla Młodej Nauki w ramach </w:t>
      </w:r>
      <w:hyperlink r:id="rId7" w:history="1">
        <w:r>
          <w:rPr>
            <w:rFonts w:eastAsia="Times New Roman"/>
            <w:szCs w:val="24"/>
            <w:lang w:eastAsia="pl-PL"/>
          </w:rPr>
          <w:t>Strategii rozwoju Uniwersytetu Medycznego im. Piastów Śląskich we Wrocławiu w latach 2024-2026 pt.: „UMW w Świetle Doskonałości Naukowej 2024</w:t>
        </w:r>
        <w:r>
          <w:rPr>
            <w:rFonts w:eastAsia="Times New Roman"/>
            <w:szCs w:val="24"/>
            <w:lang w:eastAsia="pl-PL"/>
          </w:rPr>
          <w:noBreakHyphen/>
          <w:t>2026</w:t>
        </w:r>
      </w:hyperlink>
      <w:bookmarkEnd w:id="0"/>
      <w:r>
        <w:rPr>
          <w:rFonts w:eastAsia="Times New Roman"/>
          <w:szCs w:val="24"/>
          <w:lang w:eastAsia="pl-PL"/>
        </w:rPr>
        <w:t>”</w:t>
      </w:r>
    </w:p>
    <w:bookmarkEnd w:id="1"/>
    <w:p w14:paraId="21E63427" w14:textId="77777777" w:rsidR="00732C51" w:rsidRDefault="00825ADD">
      <w:pPr>
        <w:spacing w:after="0" w:line="360" w:lineRule="auto"/>
        <w:jc w:val="both"/>
      </w:pPr>
      <w:r>
        <w:rPr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28BD01C9" wp14:editId="75FA5482">
                <wp:extent cx="5760720" cy="18416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E3B56" id="Shape1" o:spid="_x0000_s1026" style="width:453.6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" fillcolor="#a0a0a0" stroked="f">
                <v:textbox inset="0,0,0,0"/>
                <w10:anchorlock/>
              </v:rect>
            </w:pict>
          </mc:Fallback>
        </mc:AlternateContent>
      </w:r>
    </w:p>
    <w:p w14:paraId="176B7C89" w14:textId="77777777" w:rsidR="00732C51" w:rsidRDefault="00825ADD">
      <w:pPr>
        <w:pStyle w:val="Akapitzlist1"/>
        <w:spacing w:before="0" w:after="0" w:line="360" w:lineRule="auto"/>
        <w:ind w:left="360"/>
        <w:jc w:val="center"/>
      </w:pPr>
      <w:r>
        <w:rPr>
          <w:rFonts w:ascii="Calibri" w:hAnsi="Calibri" w:cs="Calibri"/>
          <w:b/>
          <w:bCs/>
          <w:szCs w:val="24"/>
        </w:rPr>
        <w:t xml:space="preserve">§ 1 </w:t>
      </w:r>
      <w:r>
        <w:rPr>
          <w:rFonts w:ascii="Calibri" w:hAnsi="Calibri" w:cs="Calibri"/>
          <w:b/>
          <w:szCs w:val="24"/>
        </w:rPr>
        <w:t>Informacje ogólne</w:t>
      </w:r>
    </w:p>
    <w:p w14:paraId="1195485F" w14:textId="77777777" w:rsidR="00732C51" w:rsidRDefault="00825ADD">
      <w:pPr>
        <w:pStyle w:val="Akapitzlist1"/>
        <w:spacing w:after="0" w:line="360" w:lineRule="auto"/>
        <w:ind w:left="0"/>
      </w:pPr>
      <w:r>
        <w:rPr>
          <w:rFonts w:ascii="Calibri" w:hAnsi="Calibri" w:cs="Calibri"/>
          <w:szCs w:val="24"/>
        </w:rPr>
        <w:t xml:space="preserve">Regulamin dotyczy przyznawania środków przeznaczonych na </w:t>
      </w:r>
      <w:r>
        <w:rPr>
          <w:rFonts w:ascii="Calibri" w:hAnsi="Calibri" w:cs="Calibri"/>
          <w:b/>
          <w:bCs/>
          <w:szCs w:val="24"/>
        </w:rPr>
        <w:t>Nanogranty</w:t>
      </w:r>
      <w:r>
        <w:rPr>
          <w:rFonts w:ascii="Calibri" w:hAnsi="Calibri" w:cs="Calibri"/>
          <w:szCs w:val="24"/>
        </w:rPr>
        <w:t xml:space="preserve"> dla studentów, doktorantów oraz post-doców UMW w celu realizacji projektów badawczych, udziału w warsztatach, konferencjach oraz wydarzeniach podnoszących kompetencje zawodowe i naukowe w dyscyplinach: </w:t>
      </w:r>
      <w:bookmarkStart w:id="3" w:name="_Hlk203039280"/>
      <w:r>
        <w:rPr>
          <w:rFonts w:ascii="Calibri" w:hAnsi="Calibri" w:cs="Calibri"/>
          <w:szCs w:val="24"/>
        </w:rPr>
        <w:t xml:space="preserve">nauki medyczne, nauki farmaceutyczne i nauki o zdrowiu. </w:t>
      </w:r>
      <w:bookmarkEnd w:id="3"/>
      <w:r>
        <w:rPr>
          <w:rFonts w:ascii="Calibri" w:hAnsi="Calibri" w:cs="Calibri"/>
          <w:szCs w:val="24"/>
        </w:rPr>
        <w:t xml:space="preserve">Regulamin obejmuje zasady realizacji i rozliczania działania </w:t>
      </w:r>
      <w:r>
        <w:rPr>
          <w:rFonts w:ascii="Calibri" w:hAnsi="Calibri" w:cs="Calibri"/>
          <w:b/>
          <w:bCs/>
          <w:szCs w:val="24"/>
        </w:rPr>
        <w:t>Nanogranty</w:t>
      </w:r>
      <w:r>
        <w:rPr>
          <w:rFonts w:ascii="Calibri" w:hAnsi="Calibri" w:cs="Calibri"/>
          <w:szCs w:val="24"/>
        </w:rPr>
        <w:t>, ze środków Strategii rozwoju Uniwersytetu Medycznego im. Piastów Śląskich we Wrocławiu w latach 2024-2026 pt.: „UMW w Świetle Doskonałości Naukowej 2024</w:t>
      </w:r>
      <w:bookmarkStart w:id="4" w:name="_Hlk163512762"/>
      <w:bookmarkEnd w:id="4"/>
      <w:r>
        <w:rPr>
          <w:rFonts w:ascii="Calibri" w:hAnsi="Calibri" w:cs="Calibri"/>
          <w:szCs w:val="24"/>
        </w:rPr>
        <w:t>-2026” przyznanych Uniwersytetowi Medycznemu we Wrocławiu przez Ministra Nauki i Szkolnictwa Wyższego.</w:t>
      </w:r>
    </w:p>
    <w:p w14:paraId="27062B9F" w14:textId="77777777" w:rsidR="00732C51" w:rsidRDefault="00732C51">
      <w:pPr>
        <w:spacing w:after="0" w:line="360" w:lineRule="auto"/>
        <w:jc w:val="center"/>
        <w:rPr>
          <w:b/>
          <w:bCs/>
          <w:szCs w:val="24"/>
        </w:rPr>
      </w:pPr>
    </w:p>
    <w:p w14:paraId="32C434B3" w14:textId="77777777" w:rsidR="00732C51" w:rsidRDefault="00825ADD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2 Słownik pojęć</w:t>
      </w:r>
    </w:p>
    <w:p w14:paraId="2C268AE0" w14:textId="77777777" w:rsidR="00732C51" w:rsidRDefault="00825ADD">
      <w:pPr>
        <w:pStyle w:val="Akapitzlist1"/>
        <w:spacing w:before="0" w:after="0" w:line="360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Użyte w niniejszym Regulaminie określenia oznaczają:</w:t>
      </w:r>
    </w:p>
    <w:p w14:paraId="5DAA70AA" w14:textId="77777777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t>Strategia</w:t>
      </w:r>
      <w:r>
        <w:rPr>
          <w:rFonts w:ascii="Calibri" w:hAnsi="Calibri" w:cs="Calibri"/>
          <w:szCs w:val="24"/>
        </w:rPr>
        <w:t xml:space="preserve"> – Strategia rozwoju Uniwersytetu Medycznego im. Piastów Śląskich we Wrocławiu w latach 2024-2026 pt.: „UMW w Świetle Doskonałości Naukowej 2024-2026” w celu przygotowania do udziału w konkursie w ramach Programu Ministerstwa Nauki </w:t>
      </w:r>
      <w:r>
        <w:rPr>
          <w:rFonts w:ascii="Calibri" w:hAnsi="Calibri" w:cs="Calibri"/>
          <w:szCs w:val="24"/>
        </w:rPr>
        <w:br/>
        <w:t>i Szkolnictwa Wyższego "Inicjatywa doskonałości-uczelnia badawcza",</w:t>
      </w:r>
    </w:p>
    <w:p w14:paraId="6EB119EC" w14:textId="77777777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t>Uczestnik</w:t>
      </w:r>
      <w:r>
        <w:rPr>
          <w:rFonts w:ascii="Calibri" w:hAnsi="Calibri" w:cs="Calibri"/>
          <w:szCs w:val="24"/>
        </w:rPr>
        <w:t xml:space="preserve"> – osoba korzystająca z Nanograntu, </w:t>
      </w:r>
    </w:p>
    <w:p w14:paraId="1B3C6FB8" w14:textId="3D3BF1A5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t xml:space="preserve">Nanogrant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szCs w:val="24"/>
        </w:rPr>
        <w:t>forma wsparcia finansowego przyznawanego na realizację projektu, działania lub inicjatywy o ograniczonym zakresie, czasie trwania i budżecie,</w:t>
      </w:r>
    </w:p>
    <w:p w14:paraId="7896986B" w14:textId="77777777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t>Uczelnia, UMW</w:t>
      </w:r>
      <w:r>
        <w:rPr>
          <w:rFonts w:ascii="Calibri" w:hAnsi="Calibri" w:cs="Calibri"/>
          <w:szCs w:val="24"/>
        </w:rPr>
        <w:t xml:space="preserve"> – Uniwersytet Medyczny im. Piastów Śląskich we Wrocławiu, adres: Wybrzeże L. Pasteura 1, 50-367 Wrocław,</w:t>
      </w:r>
    </w:p>
    <w:p w14:paraId="44623203" w14:textId="77777777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t>Wniosek</w:t>
      </w:r>
      <w:r>
        <w:rPr>
          <w:rFonts w:ascii="Calibri" w:hAnsi="Calibri" w:cs="Calibri"/>
          <w:szCs w:val="24"/>
        </w:rPr>
        <w:t xml:space="preserve"> – wniosek o finansowanie Nanograntu (wniosek grantowy), którego wzór stanowi </w:t>
      </w:r>
      <w:r>
        <w:rPr>
          <w:rFonts w:ascii="Calibri" w:hAnsi="Calibri" w:cs="Calibri"/>
          <w:b/>
          <w:bCs/>
          <w:szCs w:val="24"/>
        </w:rPr>
        <w:t>Załącznik nr 1</w:t>
      </w:r>
      <w:r>
        <w:rPr>
          <w:rFonts w:ascii="Calibri" w:hAnsi="Calibri" w:cs="Calibri"/>
          <w:szCs w:val="24"/>
        </w:rPr>
        <w:t xml:space="preserve"> do niniejszego Regulaminu,</w:t>
      </w:r>
    </w:p>
    <w:p w14:paraId="062581B9" w14:textId="77777777" w:rsidR="00732C51" w:rsidRDefault="00825ADD" w:rsidP="003B59D0">
      <w:pPr>
        <w:pStyle w:val="Akapitzlist1"/>
        <w:numPr>
          <w:ilvl w:val="0"/>
          <w:numId w:val="2"/>
        </w:numPr>
        <w:tabs>
          <w:tab w:val="left" w:pos="0"/>
        </w:tabs>
        <w:spacing w:before="0" w:after="0" w:line="360" w:lineRule="auto"/>
        <w:ind w:left="357" w:hanging="357"/>
      </w:pPr>
      <w:r>
        <w:rPr>
          <w:rFonts w:ascii="Calibri" w:hAnsi="Calibri" w:cs="Calibri"/>
          <w:b/>
          <w:bCs/>
          <w:szCs w:val="24"/>
        </w:rPr>
        <w:t>Wnioskodawca</w:t>
      </w:r>
      <w:r>
        <w:rPr>
          <w:rFonts w:ascii="Calibri" w:hAnsi="Calibri" w:cs="Calibri"/>
          <w:szCs w:val="24"/>
        </w:rPr>
        <w:t xml:space="preserve"> – osoba składająca Wniosek o finansowanie działania naukowego w ramach Nanograntu,</w:t>
      </w:r>
    </w:p>
    <w:p w14:paraId="67EE4782" w14:textId="4DA35024" w:rsidR="00732C51" w:rsidRDefault="00825ADD" w:rsidP="003B59D0">
      <w:pPr>
        <w:pStyle w:val="Akapitzlist1"/>
        <w:numPr>
          <w:ilvl w:val="0"/>
          <w:numId w:val="2"/>
        </w:numPr>
        <w:spacing w:before="0" w:after="0" w:line="360" w:lineRule="auto"/>
      </w:pPr>
      <w:r>
        <w:rPr>
          <w:rFonts w:ascii="Calibri" w:hAnsi="Calibri" w:cs="Calibri"/>
          <w:b/>
          <w:bCs/>
          <w:szCs w:val="24"/>
        </w:rPr>
        <w:lastRenderedPageBreak/>
        <w:t xml:space="preserve">Post-doc </w:t>
      </w:r>
      <w:r>
        <w:rPr>
          <w:rFonts w:ascii="Calibri" w:hAnsi="Calibri" w:cs="Calibri"/>
          <w:szCs w:val="24"/>
        </w:rPr>
        <w:t xml:space="preserve">– nauczyciel akademicki ze stopniem doktora (bez habilitacji) zatrudniony w UMW na stanowisku asystenta lub adiunkta w grupie pracowników badawczych lub badawczo-dydaktycznych, który prowadzi badania naukowe na UMW, podnosi swoje kompetencje zawodowe i naukowe w jednej z dyscyplin, o których mowa w § 1, </w:t>
      </w:r>
    </w:p>
    <w:p w14:paraId="3B3A33FF" w14:textId="77777777" w:rsidR="00732C51" w:rsidRDefault="00825ADD" w:rsidP="003B59D0">
      <w:pPr>
        <w:pStyle w:val="Akapitzlist1"/>
        <w:numPr>
          <w:ilvl w:val="0"/>
          <w:numId w:val="2"/>
        </w:numPr>
        <w:spacing w:before="0" w:line="360" w:lineRule="auto"/>
      </w:pPr>
      <w:r>
        <w:rPr>
          <w:rFonts w:ascii="Calibri" w:hAnsi="Calibri" w:cs="Calibri"/>
          <w:b/>
          <w:bCs/>
          <w:szCs w:val="24"/>
        </w:rPr>
        <w:t>Komitet Sterujący IDUB</w:t>
      </w:r>
      <w:r>
        <w:rPr>
          <w:rFonts w:ascii="Calibri" w:hAnsi="Calibri" w:cs="Calibri"/>
          <w:szCs w:val="24"/>
        </w:rPr>
        <w:t xml:space="preserve"> – Komitet powołany Zarządzeniem nr 145/XVI R/2024 Rektora Uniwersytetu Medycznego we Wrocławiu z dnia 12 lipca 2024 r. w sprawie Realizacji Strategii rozwoju Uniwersytetu Medycznego im. Piastów Śląskich we Wrocławiu w latach 2024-2026 pt.: „UMW w Świetle Doskonałości Naukowej 2024-2026” w celu realizacji Strategii.</w:t>
      </w:r>
    </w:p>
    <w:p w14:paraId="42E99B72" w14:textId="77777777" w:rsidR="00732C51" w:rsidRDefault="00825ADD">
      <w:pPr>
        <w:pStyle w:val="Akapitzlist1"/>
        <w:spacing w:before="0" w:after="0" w:line="360" w:lineRule="auto"/>
        <w:ind w:left="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§ 3 Cel </w:t>
      </w:r>
    </w:p>
    <w:p w14:paraId="16FD4E24" w14:textId="77777777" w:rsidR="00732C51" w:rsidRDefault="00825ADD" w:rsidP="003B59D0">
      <w:pPr>
        <w:numPr>
          <w:ilvl w:val="0"/>
          <w:numId w:val="3"/>
        </w:numPr>
        <w:spacing w:after="0" w:line="360" w:lineRule="auto"/>
        <w:ind w:hanging="35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Celem zadania jest wspieranie działalności naukowej, podnoszenie kompetencji badawczych oraz rozwój kariery naukowej młodych naukowców. </w:t>
      </w:r>
    </w:p>
    <w:p w14:paraId="0EAB79DF" w14:textId="77777777" w:rsidR="00732C51" w:rsidRDefault="00825ADD" w:rsidP="003B59D0">
      <w:pPr>
        <w:numPr>
          <w:ilvl w:val="0"/>
          <w:numId w:val="3"/>
        </w:numPr>
        <w:spacing w:after="0" w:line="360" w:lineRule="auto"/>
        <w:ind w:hanging="357"/>
        <w:jc w:val="both"/>
        <w:rPr>
          <w:szCs w:val="24"/>
        </w:rPr>
      </w:pPr>
      <w:r>
        <w:rPr>
          <w:szCs w:val="24"/>
        </w:rPr>
        <w:t>Działania możliwe do zrealizowania w ramach Nanograntów mają polegać na finansowaniu działalności naukowej w tym: badań naukowych, udziału w szkoleniach i warsztatach naukowych oraz innych aktywnościach mających znaczenie dla podniesienia poziomu naukowego Uczelni, a także wpływających bezpośrednio na podniesienie oceny ewaluacyjnej wiodących dyscyplin naukowych.</w:t>
      </w:r>
    </w:p>
    <w:p w14:paraId="636F1BBA" w14:textId="77777777" w:rsidR="00732C51" w:rsidRDefault="00825ADD" w:rsidP="003B59D0">
      <w:pPr>
        <w:numPr>
          <w:ilvl w:val="0"/>
          <w:numId w:val="3"/>
        </w:numPr>
        <w:spacing w:after="0" w:line="360" w:lineRule="auto"/>
        <w:ind w:hanging="357"/>
        <w:jc w:val="both"/>
        <w:rPr>
          <w:szCs w:val="24"/>
        </w:rPr>
      </w:pPr>
      <w:r>
        <w:rPr>
          <w:szCs w:val="24"/>
        </w:rPr>
        <w:t>Działania powinny przyczyniać się do realizacji następujących efektów:</w:t>
      </w:r>
    </w:p>
    <w:p w14:paraId="3887A5DB" w14:textId="77777777" w:rsidR="00732C51" w:rsidRDefault="00825ADD" w:rsidP="003B59D0">
      <w:pPr>
        <w:pStyle w:val="Akapitzlist1"/>
        <w:numPr>
          <w:ilvl w:val="0"/>
          <w:numId w:val="4"/>
        </w:numPr>
        <w:spacing w:before="0" w:after="0" w:line="360" w:lineRule="auto"/>
        <w:ind w:left="709" w:hanging="425"/>
      </w:pPr>
      <w:bookmarkStart w:id="5" w:name="_Hlk198057169"/>
      <w:r>
        <w:rPr>
          <w:rStyle w:val="normaltextrun"/>
          <w:rFonts w:ascii="Calibri" w:hAnsi="Calibri" w:cs="Calibri"/>
          <w:szCs w:val="24"/>
        </w:rPr>
        <w:t>aktywizacji naukowej młodej kadry tj. studentów, doktorantów oraz post-doców;</w:t>
      </w:r>
    </w:p>
    <w:p w14:paraId="46F2A2FE" w14:textId="77777777" w:rsidR="00732C51" w:rsidRDefault="00825ADD" w:rsidP="003B59D0">
      <w:pPr>
        <w:pStyle w:val="Akapitzlist1"/>
        <w:numPr>
          <w:ilvl w:val="0"/>
          <w:numId w:val="4"/>
        </w:numPr>
        <w:spacing w:before="0" w:after="0" w:line="360" w:lineRule="auto"/>
        <w:ind w:left="709" w:hanging="425"/>
      </w:pPr>
      <w:r>
        <w:rPr>
          <w:rStyle w:val="normaltextrun"/>
          <w:rFonts w:ascii="Calibri" w:hAnsi="Calibri" w:cs="Calibri"/>
          <w:szCs w:val="24"/>
        </w:rPr>
        <w:t>upowszechnianiu międzynarodowych wyników badań naukowych w społeczności UMW oraz wyników naukowców z UMW poza Uczelnią, w tym na stronie programu Młoda Nauka;</w:t>
      </w:r>
    </w:p>
    <w:p w14:paraId="6563BB58" w14:textId="77777777" w:rsidR="00732C51" w:rsidRDefault="00825ADD" w:rsidP="003B59D0">
      <w:pPr>
        <w:pStyle w:val="Akapitzlist1"/>
        <w:numPr>
          <w:ilvl w:val="0"/>
          <w:numId w:val="4"/>
        </w:numPr>
        <w:spacing w:before="0" w:line="360" w:lineRule="auto"/>
        <w:ind w:left="709" w:hanging="425"/>
      </w:pPr>
      <w:r>
        <w:rPr>
          <w:rStyle w:val="normaltextrun"/>
          <w:rFonts w:ascii="Calibri" w:hAnsi="Calibri" w:cs="Calibri"/>
          <w:szCs w:val="24"/>
        </w:rPr>
        <w:t>pozyskiwaniu nowych kompetencji i umiejętności w wyniku realizacji działania naukowego</w:t>
      </w:r>
      <w:bookmarkEnd w:id="5"/>
      <w:r>
        <w:rPr>
          <w:rStyle w:val="normaltextrun"/>
          <w:rFonts w:ascii="Calibri" w:hAnsi="Calibri" w:cs="Calibri"/>
          <w:szCs w:val="24"/>
        </w:rPr>
        <w:t>.</w:t>
      </w:r>
    </w:p>
    <w:p w14:paraId="3E170D57" w14:textId="77777777" w:rsidR="00732C51" w:rsidRDefault="00825ADD">
      <w:pPr>
        <w:spacing w:after="0" w:line="360" w:lineRule="auto"/>
        <w:jc w:val="center"/>
        <w:outlineLvl w:val="2"/>
      </w:pPr>
      <w:r>
        <w:rPr>
          <w:b/>
          <w:bCs/>
          <w:szCs w:val="24"/>
        </w:rPr>
        <w:t xml:space="preserve">§ 4 </w:t>
      </w:r>
      <w:r>
        <w:rPr>
          <w:rFonts w:eastAsia="Times New Roman"/>
          <w:b/>
          <w:bCs/>
          <w:szCs w:val="24"/>
          <w:lang w:eastAsia="pl-PL"/>
        </w:rPr>
        <w:t>Warunki udziału w działaniu Nanogranty</w:t>
      </w:r>
    </w:p>
    <w:p w14:paraId="15678B70" w14:textId="77777777" w:rsidR="00732C51" w:rsidRDefault="00825ADD" w:rsidP="003B59D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 udziału w działaniu Nanogranty uprawnieni są:</w:t>
      </w:r>
    </w:p>
    <w:p w14:paraId="405D1071" w14:textId="77777777" w:rsidR="00732C51" w:rsidRDefault="00825ADD" w:rsidP="003B59D0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Studenci UMW wszystkich wydziałów,</w:t>
      </w:r>
    </w:p>
    <w:p w14:paraId="4D4CA733" w14:textId="77777777" w:rsidR="00732C51" w:rsidRDefault="00825ADD" w:rsidP="003B59D0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Doktoranci kształcący się w Szkole Doktorskiej UMW, </w:t>
      </w:r>
    </w:p>
    <w:p w14:paraId="10B73BCD" w14:textId="0D465DE8" w:rsidR="00732C51" w:rsidRDefault="00825ADD" w:rsidP="003B59D0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</w:pPr>
      <w:r>
        <w:rPr>
          <w:rFonts w:eastAsia="Times New Roman"/>
          <w:szCs w:val="24"/>
          <w:lang w:eastAsia="pl-PL"/>
        </w:rPr>
        <w:t>osoby spełniające definicję Post-doc, o której mowa w § 2 pkt 7 Regulaminu,</w:t>
      </w:r>
    </w:p>
    <w:p w14:paraId="607DED01" w14:textId="5F8D452D" w:rsidR="00732C51" w:rsidRDefault="00825AD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którzy zarówno na dzień złożenia Wniosku, przyznania finansowania oraz na dzień zakończenia działania finansowanego z Nanograntu posiadają ww. status. </w:t>
      </w:r>
    </w:p>
    <w:p w14:paraId="59FA2EC8" w14:textId="77777777" w:rsidR="00732C51" w:rsidRDefault="00825ADD" w:rsidP="003B59D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rPr>
          <w:rFonts w:eastAsia="Times New Roman"/>
          <w:szCs w:val="24"/>
          <w:lang w:eastAsia="pl-PL"/>
        </w:rPr>
        <w:t xml:space="preserve">Wnioskodawca powinien przedstawić wniosek o finansowanie Nanograntu. Wzór wniosku stanowi </w:t>
      </w:r>
      <w:r>
        <w:rPr>
          <w:rFonts w:eastAsia="Times New Roman"/>
          <w:b/>
          <w:bCs/>
          <w:szCs w:val="24"/>
          <w:lang w:eastAsia="pl-PL"/>
        </w:rPr>
        <w:t>Załącznik nr 1</w:t>
      </w:r>
      <w:r>
        <w:rPr>
          <w:rFonts w:eastAsia="Times New Roman"/>
          <w:szCs w:val="24"/>
          <w:lang w:eastAsia="pl-PL"/>
        </w:rPr>
        <w:t xml:space="preserve"> do niniejszego Regulaminu.</w:t>
      </w:r>
    </w:p>
    <w:p w14:paraId="6DE18C50" w14:textId="77777777" w:rsidR="00732C51" w:rsidRDefault="00732C51">
      <w:pPr>
        <w:spacing w:after="0" w:line="360" w:lineRule="auto"/>
        <w:ind w:left="720"/>
        <w:jc w:val="both"/>
        <w:rPr>
          <w:rFonts w:eastAsia="Times New Roman"/>
          <w:szCs w:val="24"/>
          <w:lang w:eastAsia="pl-PL"/>
        </w:rPr>
      </w:pPr>
    </w:p>
    <w:p w14:paraId="00D0DB38" w14:textId="77777777" w:rsidR="00732C51" w:rsidRDefault="00825ADD">
      <w:pPr>
        <w:spacing w:after="0" w:line="360" w:lineRule="auto"/>
        <w:jc w:val="center"/>
      </w:pPr>
      <w:r>
        <w:rPr>
          <w:b/>
          <w:bCs/>
          <w:szCs w:val="24"/>
        </w:rPr>
        <w:t xml:space="preserve">§5 </w:t>
      </w:r>
      <w:r>
        <w:rPr>
          <w:rFonts w:eastAsia="Times New Roman"/>
          <w:b/>
          <w:bCs/>
          <w:szCs w:val="24"/>
          <w:lang w:eastAsia="pl-PL"/>
        </w:rPr>
        <w:t>Zasady finansowania</w:t>
      </w:r>
    </w:p>
    <w:p w14:paraId="67769416" w14:textId="77777777" w:rsidR="00732C51" w:rsidRDefault="00825ADD" w:rsidP="003B59D0">
      <w:pPr>
        <w:pStyle w:val="Akapitzlist1"/>
        <w:numPr>
          <w:ilvl w:val="0"/>
          <w:numId w:val="7"/>
        </w:numPr>
        <w:spacing w:before="0" w:after="0" w:line="360" w:lineRule="auto"/>
      </w:pPr>
      <w:r>
        <w:rPr>
          <w:rFonts w:ascii="Calibri" w:hAnsi="Calibri" w:cs="Calibri"/>
          <w:szCs w:val="24"/>
          <w:shd w:val="clear" w:color="auto" w:fill="FFFFFF"/>
        </w:rPr>
        <w:t xml:space="preserve">Prorektor ds. Nauki oraz Pełnomocnicy Rektora ds. opracowania Programu „Młoda Nauka” </w:t>
      </w:r>
      <w:r>
        <w:rPr>
          <w:rFonts w:ascii="Calibri" w:hAnsi="Calibri" w:cs="Calibri"/>
          <w:szCs w:val="24"/>
        </w:rPr>
        <w:t xml:space="preserve">ogłaszają nabór Wniosków o finansowanie Nanograntów w ramach Strategii na podstawie wspólnego komunikatu. </w:t>
      </w:r>
    </w:p>
    <w:p w14:paraId="4B1BF84B" w14:textId="77777777" w:rsidR="00732C51" w:rsidRDefault="00825ADD" w:rsidP="003B59D0">
      <w:pPr>
        <w:numPr>
          <w:ilvl w:val="0"/>
          <w:numId w:val="7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Finansowanie obejmuje:</w:t>
      </w:r>
    </w:p>
    <w:p w14:paraId="0B11348F" w14:textId="77777777" w:rsidR="00732C51" w:rsidRDefault="00825ADD" w:rsidP="003B59D0">
      <w:pPr>
        <w:numPr>
          <w:ilvl w:val="1"/>
          <w:numId w:val="8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bookmarkStart w:id="6" w:name="_Hlk198056746"/>
      <w:r>
        <w:rPr>
          <w:rFonts w:eastAsia="Times New Roman"/>
          <w:szCs w:val="24"/>
          <w:lang w:eastAsia="pl-PL"/>
        </w:rPr>
        <w:t>koszty badań naukowych (np. materiałów do badań, specjalistycznych usług badawczych),</w:t>
      </w:r>
    </w:p>
    <w:p w14:paraId="2E1A073A" w14:textId="49A3BC85" w:rsidR="00732C51" w:rsidRDefault="00825ADD" w:rsidP="003B59D0">
      <w:pPr>
        <w:numPr>
          <w:ilvl w:val="1"/>
          <w:numId w:val="8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koszty aktywności szkoleniowych (udział w warsztatach, konferencjach, stażach i szkoleniach naukowych), </w:t>
      </w:r>
    </w:p>
    <w:p w14:paraId="3793F52B" w14:textId="77777777" w:rsidR="00732C51" w:rsidRDefault="00825ADD" w:rsidP="003B59D0">
      <w:pPr>
        <w:numPr>
          <w:ilvl w:val="1"/>
          <w:numId w:val="8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koszty wizyt naukowych w celu zawarcia współpracy naukowej (wymagane potwierdzenie jednostki goszczącej).</w:t>
      </w:r>
    </w:p>
    <w:bookmarkEnd w:id="6"/>
    <w:p w14:paraId="423135D5" w14:textId="77777777" w:rsidR="00732C51" w:rsidRDefault="00825ADD" w:rsidP="003B59D0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eastAsia="Times New Roman"/>
          <w:lang w:eastAsia="pl-PL"/>
        </w:rPr>
        <w:t>Środki finansowe otrzymane na realizację finansowania Nanograntu powinny być wydatkowane zgodnie z obowiązującymi przepisami UMW oraz budżetem określonym we Wniosku.</w:t>
      </w:r>
    </w:p>
    <w:p w14:paraId="74EB0398" w14:textId="77777777" w:rsidR="00732C51" w:rsidRDefault="00825ADD" w:rsidP="003B59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Maksymalna wysokość dofinansowania jednego Nanograntu wynosi 5000,00 zł (jest to kwota zawierająca wszelkie podatki i inne zobowiązania publiczno-prawne). </w:t>
      </w:r>
    </w:p>
    <w:p w14:paraId="76F5C88A" w14:textId="77777777" w:rsidR="00732C51" w:rsidRDefault="00825ADD" w:rsidP="003B59D0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Wnioskodawcy są zobowiązani do przedstawienia kosztorysu w ramach </w:t>
      </w:r>
      <w:r>
        <w:rPr>
          <w:rFonts w:eastAsia="Times New Roman"/>
          <w:b/>
          <w:bCs/>
          <w:szCs w:val="24"/>
          <w:lang w:eastAsia="pl-PL"/>
        </w:rPr>
        <w:t>Załącznika nr 1</w:t>
      </w:r>
      <w:r>
        <w:rPr>
          <w:rFonts w:eastAsia="Times New Roman"/>
          <w:szCs w:val="24"/>
          <w:lang w:eastAsia="pl-PL"/>
        </w:rPr>
        <w:t>, oraz uzasadnienia działania naukowego. Błędnie sporządzony kosztorys dyskwalifikuje aplikację.</w:t>
      </w:r>
    </w:p>
    <w:p w14:paraId="4E1B4CBE" w14:textId="77777777" w:rsidR="00732C51" w:rsidRDefault="00825ADD">
      <w:pPr>
        <w:pStyle w:val="Akapitzlist"/>
        <w:spacing w:after="0" w:line="360" w:lineRule="auto"/>
        <w:ind w:left="360"/>
        <w:jc w:val="center"/>
      </w:pPr>
      <w:r>
        <w:rPr>
          <w:b/>
          <w:bCs/>
          <w:szCs w:val="24"/>
        </w:rPr>
        <w:t xml:space="preserve">§ 6 </w:t>
      </w:r>
      <w:r>
        <w:rPr>
          <w:rFonts w:eastAsia="Times New Roman"/>
          <w:b/>
          <w:bCs/>
          <w:szCs w:val="24"/>
          <w:lang w:eastAsia="pl-PL"/>
        </w:rPr>
        <w:t>Procedura aplikacyjna</w:t>
      </w:r>
    </w:p>
    <w:p w14:paraId="085C038C" w14:textId="77777777" w:rsidR="00732C51" w:rsidRDefault="00825ADD" w:rsidP="003B59D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Procedura aplikacyjna obejmuje następujące zasady:</w:t>
      </w:r>
    </w:p>
    <w:p w14:paraId="4D00C243" w14:textId="5FCE444D" w:rsidR="00732C51" w:rsidRDefault="00825ADD" w:rsidP="003B59D0">
      <w:pPr>
        <w:pStyle w:val="Akapitzlist"/>
        <w:numPr>
          <w:ilvl w:val="0"/>
          <w:numId w:val="10"/>
        </w:numPr>
        <w:tabs>
          <w:tab w:val="left" w:pos="1560"/>
        </w:tabs>
        <w:spacing w:after="0" w:line="360" w:lineRule="auto"/>
        <w:ind w:left="1843" w:hanging="850"/>
        <w:jc w:val="both"/>
      </w:pPr>
      <w:r>
        <w:rPr>
          <w:rFonts w:eastAsia="Times New Roman"/>
          <w:lang w:eastAsia="pl-PL"/>
        </w:rPr>
        <w:t xml:space="preserve">Wnioski o finansowanie kosztów, o których mowa w §5 ust. 2 należy składać przez stronę </w:t>
      </w:r>
      <w:bookmarkStart w:id="7" w:name="_Hlk202516876"/>
      <w:r>
        <w:rPr>
          <w:rFonts w:eastAsia="Times New Roman"/>
          <w:lang w:eastAsia="pl-PL"/>
        </w:rPr>
        <w:t xml:space="preserve">internetową Młoda Nauka </w:t>
      </w:r>
      <w:bookmarkStart w:id="8" w:name="_Hlk203042221"/>
      <w:r>
        <w:fldChar w:fldCharType="begin"/>
      </w:r>
      <w:r>
        <w:instrText xml:space="preserve"> HYPERLINK  "https://mlodanauka.umw.edu.pl/" </w:instrText>
      </w:r>
      <w:r>
        <w:fldChar w:fldCharType="separate"/>
      </w:r>
      <w:r>
        <w:rPr>
          <w:rStyle w:val="Hipercze"/>
          <w:rFonts w:eastAsia="Times New Roman"/>
          <w:lang w:eastAsia="pl-PL"/>
        </w:rPr>
        <w:t>https://mlodanauka.umw.edu.pl/</w:t>
      </w:r>
      <w:r>
        <w:rPr>
          <w:rStyle w:val="Hipercze"/>
          <w:rFonts w:eastAsia="Times New Roman"/>
          <w:lang w:eastAsia="pl-PL"/>
        </w:rPr>
        <w:fldChar w:fldCharType="end"/>
      </w:r>
      <w:r>
        <w:rPr>
          <w:rFonts w:eastAsia="Times New Roman"/>
          <w:lang w:eastAsia="pl-PL"/>
        </w:rPr>
        <w:t xml:space="preserve"> </w:t>
      </w:r>
      <w:bookmarkEnd w:id="8"/>
      <w:r>
        <w:rPr>
          <w:rFonts w:eastAsia="Times New Roman"/>
          <w:lang w:eastAsia="pl-PL"/>
        </w:rPr>
        <w:t>- Wnioskodawca wypełnia Wniosek, którego wzór stanowi Załącznik nr 1 do Regulaminu, za pośrednictwem ww. strony internetowej</w:t>
      </w:r>
      <w:bookmarkEnd w:id="7"/>
      <w:r>
        <w:rPr>
          <w:rFonts w:eastAsia="Times New Roman"/>
          <w:lang w:eastAsia="pl-PL"/>
        </w:rPr>
        <w:t xml:space="preserve"> oraz załącza niezbędne załączniki (o ile są wymagane),</w:t>
      </w:r>
    </w:p>
    <w:p w14:paraId="31296B38" w14:textId="071F35C9" w:rsidR="00732C51" w:rsidRDefault="00825ADD" w:rsidP="003B59D0">
      <w:pPr>
        <w:numPr>
          <w:ilvl w:val="0"/>
          <w:numId w:val="10"/>
        </w:numPr>
        <w:tabs>
          <w:tab w:val="left" w:pos="1920"/>
        </w:tabs>
        <w:spacing w:after="0" w:line="360" w:lineRule="auto"/>
        <w:ind w:left="1843" w:hanging="850"/>
        <w:jc w:val="both"/>
      </w:pPr>
      <w:r>
        <w:rPr>
          <w:rFonts w:eastAsia="SimSun"/>
          <w:szCs w:val="24"/>
          <w:lang w:eastAsia="ar-SA"/>
        </w:rPr>
        <w:t xml:space="preserve">Wnioskodawca może złożyć maksymalnie jeden Wniosek w każdej kategorii: </w:t>
      </w:r>
    </w:p>
    <w:p w14:paraId="1D0305E2" w14:textId="535F2481" w:rsidR="00732C51" w:rsidRDefault="00825ADD">
      <w:pPr>
        <w:spacing w:after="0" w:line="360" w:lineRule="auto"/>
        <w:ind w:left="1843"/>
        <w:jc w:val="both"/>
      </w:pPr>
      <w:r>
        <w:rPr>
          <w:rFonts w:eastAsia="SimSun"/>
          <w:szCs w:val="24"/>
          <w:lang w:eastAsia="ar-SA"/>
        </w:rPr>
        <w:t>– jeden Wniosek dotyczący badań naukowych,</w:t>
      </w:r>
    </w:p>
    <w:p w14:paraId="18056DF8" w14:textId="04084375" w:rsidR="00732C51" w:rsidRDefault="00825ADD">
      <w:pPr>
        <w:spacing w:after="0" w:line="360" w:lineRule="auto"/>
        <w:ind w:left="1843"/>
        <w:jc w:val="both"/>
      </w:pPr>
      <w:r>
        <w:rPr>
          <w:rFonts w:eastAsia="SimSun"/>
          <w:szCs w:val="24"/>
          <w:lang w:eastAsia="ar-SA"/>
        </w:rPr>
        <w:t>– jeden Wniosek dotyczący aktywności szkoleniowej.</w:t>
      </w:r>
    </w:p>
    <w:p w14:paraId="235885C8" w14:textId="4C1083C5" w:rsidR="00732C51" w:rsidRDefault="00825ADD">
      <w:pPr>
        <w:spacing w:after="0" w:line="360" w:lineRule="auto"/>
        <w:ind w:left="1843"/>
        <w:jc w:val="both"/>
      </w:pPr>
      <w:r>
        <w:rPr>
          <w:rFonts w:eastAsia="SimSun"/>
          <w:szCs w:val="24"/>
          <w:lang w:eastAsia="ar-SA"/>
        </w:rPr>
        <w:t>- jeden Wniosek dotyczący wizyt naukowych.</w:t>
      </w:r>
    </w:p>
    <w:p w14:paraId="16111676" w14:textId="77777777" w:rsidR="00732C51" w:rsidRDefault="00825ADD" w:rsidP="003B59D0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W przypadku wątpliwości dotyczących merytorycznego celu wyjazdu, o którym mowa w § 5 ust. 2 pkt 2 i 3, Pełnomocnik Rektora ds. opracowania Programu „Młoda Nauka” </w:t>
      </w:r>
      <w:r>
        <w:rPr>
          <w:rFonts w:eastAsia="Times New Roman"/>
          <w:szCs w:val="24"/>
          <w:lang w:eastAsia="pl-PL"/>
        </w:rPr>
        <w:lastRenderedPageBreak/>
        <w:t>może zwrócić się o opinię do Prorektora ds. Nauki UMW lub przedstawicieli Centrum Zarządzania Projektami.</w:t>
      </w:r>
    </w:p>
    <w:p w14:paraId="28976750" w14:textId="77777777" w:rsidR="00732C51" w:rsidRDefault="00825ADD">
      <w:pPr>
        <w:pStyle w:val="Akapitzlist"/>
        <w:spacing w:before="240"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7 Ocena Wniosków o finansowanie</w:t>
      </w:r>
    </w:p>
    <w:p w14:paraId="5363359D" w14:textId="6744409D" w:rsidR="00732C51" w:rsidRDefault="00825ADD" w:rsidP="003B59D0">
      <w:pPr>
        <w:numPr>
          <w:ilvl w:val="0"/>
          <w:numId w:val="11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Wnioski oceniane są zgodnie z kolejnością zgłoszeń tj. </w:t>
      </w:r>
      <w:r w:rsidRPr="003B59D0">
        <w:rPr>
          <w:rFonts w:eastAsia="Times New Roman"/>
          <w:szCs w:val="24"/>
          <w:lang w:eastAsia="pl-PL"/>
        </w:rPr>
        <w:t xml:space="preserve">według daty ich </w:t>
      </w:r>
      <w:r>
        <w:rPr>
          <w:rFonts w:eastAsia="Times New Roman"/>
          <w:szCs w:val="24"/>
          <w:lang w:eastAsia="pl-PL"/>
        </w:rPr>
        <w:t xml:space="preserve">wpłynięcia za pośrednictwem strony internetowej </w:t>
      </w:r>
      <w:hyperlink r:id="rId8" w:history="1">
        <w:r>
          <w:rPr>
            <w:rStyle w:val="Hipercze"/>
            <w:rFonts w:eastAsia="Times New Roman"/>
            <w:szCs w:val="24"/>
            <w:lang w:eastAsia="pl-PL"/>
          </w:rPr>
          <w:t>https://mlodanauka.umw.edu.pl/</w:t>
        </w:r>
      </w:hyperlink>
      <w:r>
        <w:rPr>
          <w:rFonts w:eastAsia="Times New Roman"/>
          <w:szCs w:val="24"/>
          <w:lang w:eastAsia="pl-PL"/>
        </w:rPr>
        <w:t xml:space="preserve"> przez </w:t>
      </w:r>
      <w:bookmarkStart w:id="9" w:name="_Hlk203042618"/>
      <w:r>
        <w:rPr>
          <w:rFonts w:eastAsia="Times New Roman"/>
          <w:szCs w:val="24"/>
          <w:lang w:eastAsia="pl-PL"/>
        </w:rPr>
        <w:t>Pełnomocników Rektora ds. opracowania Programu „Młoda Nauk</w:t>
      </w:r>
      <w:bookmarkEnd w:id="9"/>
      <w:r>
        <w:rPr>
          <w:rFonts w:eastAsia="Times New Roman"/>
          <w:szCs w:val="24"/>
          <w:lang w:eastAsia="pl-PL"/>
        </w:rPr>
        <w:t xml:space="preserve">a”. </w:t>
      </w:r>
    </w:p>
    <w:p w14:paraId="200CA1CD" w14:textId="77777777" w:rsidR="00732C51" w:rsidRDefault="00825ADD" w:rsidP="003B59D0">
      <w:pPr>
        <w:numPr>
          <w:ilvl w:val="0"/>
          <w:numId w:val="11"/>
        </w:numPr>
        <w:spacing w:after="0" w:line="360" w:lineRule="auto"/>
        <w:jc w:val="both"/>
      </w:pPr>
      <w:r w:rsidRPr="003B59D0">
        <w:t xml:space="preserve">Po złożeniu wniosku, Pełnomocnik </w:t>
      </w:r>
      <w:r>
        <w:rPr>
          <w:rFonts w:eastAsia="Times New Roman"/>
          <w:szCs w:val="24"/>
          <w:lang w:eastAsia="pl-PL"/>
        </w:rPr>
        <w:t xml:space="preserve">Rektora </w:t>
      </w:r>
      <w:r w:rsidRPr="003B59D0">
        <w:t xml:space="preserve">ds. </w:t>
      </w:r>
      <w:r>
        <w:rPr>
          <w:rFonts w:eastAsia="Times New Roman"/>
          <w:szCs w:val="24"/>
          <w:lang w:eastAsia="pl-PL"/>
        </w:rPr>
        <w:t xml:space="preserve">opracowania </w:t>
      </w:r>
      <w:r w:rsidRPr="003B59D0">
        <w:t xml:space="preserve">Programu </w:t>
      </w:r>
      <w:r>
        <w:rPr>
          <w:rFonts w:eastAsia="Times New Roman"/>
          <w:szCs w:val="24"/>
          <w:lang w:eastAsia="pl-PL"/>
        </w:rPr>
        <w:t>„</w:t>
      </w:r>
      <w:r w:rsidRPr="003B59D0">
        <w:t>Młoda Nauka</w:t>
      </w:r>
      <w:r>
        <w:rPr>
          <w:rFonts w:eastAsia="Times New Roman"/>
          <w:szCs w:val="24"/>
          <w:lang w:eastAsia="pl-PL"/>
        </w:rPr>
        <w:t>”</w:t>
      </w:r>
      <w:r w:rsidRPr="003B59D0">
        <w:t xml:space="preserve"> dokonuje jego weryfikacji formalnej i merytorycznej na podstawie karty weryfikacji, stanowiącej </w:t>
      </w:r>
      <w:r w:rsidRPr="003B59D0">
        <w:rPr>
          <w:b/>
        </w:rPr>
        <w:t>załącznik nr 2</w:t>
      </w:r>
      <w:r w:rsidRPr="003B59D0">
        <w:t xml:space="preserve"> do regulaminu. Następnie wniosek przekazywany jest do Centrum Zarzadzania Projektami w celu oceny jego zgodności ze Strategią.</w:t>
      </w:r>
    </w:p>
    <w:p w14:paraId="1FA8002E" w14:textId="77777777" w:rsidR="00732C51" w:rsidRDefault="00825ADD" w:rsidP="003B59D0">
      <w:pPr>
        <w:numPr>
          <w:ilvl w:val="0"/>
          <w:numId w:val="11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Wnioski niekompletne lub wypełnione niezgodnie z niniejszym Regulaminem będą odrzucane – zgodnie z kartą weryfikacji stanowiącą </w:t>
      </w:r>
      <w:r>
        <w:rPr>
          <w:rFonts w:eastAsia="Times New Roman"/>
          <w:b/>
          <w:bCs/>
          <w:szCs w:val="24"/>
          <w:lang w:eastAsia="pl-PL"/>
        </w:rPr>
        <w:t>Załącznik nr 2</w:t>
      </w:r>
      <w:r>
        <w:rPr>
          <w:rFonts w:eastAsia="Times New Roman"/>
          <w:szCs w:val="24"/>
          <w:lang w:eastAsia="pl-PL"/>
        </w:rPr>
        <w:t>.</w:t>
      </w:r>
    </w:p>
    <w:p w14:paraId="0B1B9BDD" w14:textId="3042F590" w:rsidR="00732C51" w:rsidRDefault="00825ADD" w:rsidP="003B59D0">
      <w:pPr>
        <w:numPr>
          <w:ilvl w:val="0"/>
          <w:numId w:val="11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Decyzja o przyznaniu finansowania podejmowana </w:t>
      </w:r>
      <w:r w:rsidRPr="003B59D0">
        <w:t xml:space="preserve">jest przez Pełnomocnika </w:t>
      </w:r>
      <w:r>
        <w:rPr>
          <w:rFonts w:eastAsia="Times New Roman"/>
          <w:szCs w:val="24"/>
          <w:lang w:eastAsia="pl-PL"/>
        </w:rPr>
        <w:t xml:space="preserve">Rektora </w:t>
      </w:r>
      <w:r w:rsidRPr="003B59D0">
        <w:t xml:space="preserve">ds. </w:t>
      </w:r>
      <w:r>
        <w:rPr>
          <w:rFonts w:eastAsia="Times New Roman"/>
          <w:szCs w:val="24"/>
          <w:lang w:eastAsia="pl-PL"/>
        </w:rPr>
        <w:t xml:space="preserve">opracowania </w:t>
      </w:r>
      <w:r w:rsidRPr="003B59D0">
        <w:t xml:space="preserve">Programu </w:t>
      </w:r>
      <w:r>
        <w:rPr>
          <w:rFonts w:eastAsia="Times New Roman"/>
          <w:szCs w:val="24"/>
          <w:lang w:eastAsia="pl-PL"/>
        </w:rPr>
        <w:t>„</w:t>
      </w:r>
      <w:r w:rsidRPr="003B59D0">
        <w:t>Młoda Nauka</w:t>
      </w:r>
      <w:r>
        <w:rPr>
          <w:rFonts w:eastAsia="Times New Roman"/>
          <w:szCs w:val="24"/>
          <w:lang w:eastAsia="pl-PL"/>
        </w:rPr>
        <w:t>”,</w:t>
      </w:r>
      <w:r w:rsidRPr="003B59D0">
        <w:t xml:space="preserve"> po uzyskaniu akceptacji Centrum Zarządzania Projektami</w:t>
      </w:r>
      <w:r>
        <w:rPr>
          <w:rFonts w:eastAsia="Times New Roman"/>
          <w:szCs w:val="24"/>
          <w:lang w:eastAsia="pl-PL"/>
        </w:rPr>
        <w:t>, o której mowa w ust. 2 zd. drugie,</w:t>
      </w:r>
      <w:r w:rsidRPr="003B59D0">
        <w:t xml:space="preserve"> </w:t>
      </w:r>
      <w:r>
        <w:rPr>
          <w:rFonts w:eastAsia="Times New Roman"/>
          <w:szCs w:val="24"/>
          <w:lang w:eastAsia="pl-PL"/>
        </w:rPr>
        <w:t xml:space="preserve">na podstawie wartości naukowej  przedstawionych w złożonych dokumentach aktywności (według </w:t>
      </w:r>
      <w:r>
        <w:rPr>
          <w:b/>
          <w:bCs/>
          <w:szCs w:val="24"/>
        </w:rPr>
        <w:t>§5</w:t>
      </w:r>
      <w:r>
        <w:rPr>
          <w:rFonts w:eastAsia="Times New Roman"/>
          <w:szCs w:val="24"/>
          <w:lang w:eastAsia="pl-PL"/>
        </w:rPr>
        <w:t>), potencjalnych korzyści dla Uniwersytetu Medycznego oraz dostępnych środków.</w:t>
      </w:r>
    </w:p>
    <w:p w14:paraId="3D3714C6" w14:textId="5E41C548" w:rsidR="00732C51" w:rsidRPr="003B59D0" w:rsidRDefault="00825ADD" w:rsidP="003B59D0">
      <w:pPr>
        <w:numPr>
          <w:ilvl w:val="0"/>
          <w:numId w:val="11"/>
        </w:numPr>
        <w:spacing w:after="0" w:line="360" w:lineRule="auto"/>
        <w:jc w:val="both"/>
      </w:pPr>
      <w:r w:rsidRPr="003B59D0">
        <w:t xml:space="preserve">Wnioski przyjmowane będą do 30.09.2026 r. lub do wyczerpania puli środków przeznaczonych na </w:t>
      </w:r>
      <w:r>
        <w:rPr>
          <w:rFonts w:eastAsia="Times New Roman"/>
          <w:lang w:eastAsia="pl-PL"/>
        </w:rPr>
        <w:t>Nanogranty</w:t>
      </w:r>
      <w:r w:rsidRPr="003B59D0">
        <w:t xml:space="preserve">, w zależności od tego, które ze zdarzeń nastąpi pierwsze. Końcowym terminem </w:t>
      </w:r>
      <w:r>
        <w:rPr>
          <w:rFonts w:eastAsia="Times New Roman"/>
          <w:lang w:eastAsia="pl-PL"/>
        </w:rPr>
        <w:t>rozliczenia Nanograntu</w:t>
      </w:r>
      <w:r w:rsidRPr="003B59D0">
        <w:t xml:space="preserve"> jest  31.12.2026 r.</w:t>
      </w:r>
    </w:p>
    <w:p w14:paraId="0524BF35" w14:textId="77777777" w:rsidR="00732C51" w:rsidRDefault="00825ADD" w:rsidP="003B59D0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Informacja o przyznaniu finansowania jest przekazywana niezwłocznie, osobie wnioskującej. </w:t>
      </w:r>
    </w:p>
    <w:p w14:paraId="6DC80E79" w14:textId="77777777" w:rsidR="00732C51" w:rsidRDefault="00825ADD" w:rsidP="003B59D0">
      <w:pPr>
        <w:numPr>
          <w:ilvl w:val="0"/>
          <w:numId w:val="11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 xml:space="preserve">Po otrzymaniu informacji o przyznaniu finansowania, Uczestnik zobowiązany jest </w:t>
      </w:r>
      <w:r>
        <w:t>potwierdzać każdorazowo kwalifikowalność każdego wydatku związanego z jego realizacją w Centrum Zarządzania Projektami przed składaniem wniosków o uruchamianie procedur (zamówienia, delegacje, etc) przez właściwe działy Uczelni oraz ma obowiązek dostarczać poprawnie opisane dokumenty finansowo-księgowe do Centrum Zarządzania Projektami</w:t>
      </w:r>
      <w:r>
        <w:rPr>
          <w:rFonts w:eastAsia="Times New Roman"/>
          <w:szCs w:val="24"/>
          <w:lang w:eastAsia="pl-PL"/>
        </w:rPr>
        <w:t>.</w:t>
      </w:r>
    </w:p>
    <w:p w14:paraId="2EE016F8" w14:textId="77777777" w:rsidR="00732C51" w:rsidRDefault="00825ADD">
      <w:pPr>
        <w:spacing w:after="0" w:line="360" w:lineRule="auto"/>
        <w:jc w:val="center"/>
        <w:outlineLvl w:val="2"/>
      </w:pPr>
      <w:r>
        <w:rPr>
          <w:b/>
          <w:bCs/>
          <w:szCs w:val="24"/>
        </w:rPr>
        <w:t xml:space="preserve">§ 8 </w:t>
      </w:r>
      <w:r>
        <w:rPr>
          <w:rFonts w:eastAsia="Times New Roman"/>
          <w:b/>
          <w:bCs/>
          <w:szCs w:val="24"/>
          <w:lang w:eastAsia="pl-PL"/>
        </w:rPr>
        <w:t xml:space="preserve">Obowiązki Uczestników </w:t>
      </w:r>
    </w:p>
    <w:p w14:paraId="65DDE7DB" w14:textId="77777777" w:rsidR="00732C51" w:rsidRDefault="00825ADD">
      <w:pPr>
        <w:spacing w:after="0" w:line="360" w:lineRule="auto"/>
        <w:ind w:firstLine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Uczestnik po zakończeniu Nanograntu zobowiązany jest do:</w:t>
      </w:r>
    </w:p>
    <w:p w14:paraId="0D14AC81" w14:textId="77777777" w:rsidR="00732C51" w:rsidRDefault="00825ADD" w:rsidP="003B59D0">
      <w:pPr>
        <w:numPr>
          <w:ilvl w:val="0"/>
          <w:numId w:val="12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>przesłania sprawozdania merytorycznego (</w:t>
      </w:r>
      <w:r>
        <w:rPr>
          <w:rFonts w:eastAsia="Times New Roman"/>
          <w:b/>
          <w:bCs/>
          <w:szCs w:val="24"/>
          <w:lang w:eastAsia="pl-PL"/>
        </w:rPr>
        <w:t>załącznik nr 3</w:t>
      </w:r>
      <w:r>
        <w:rPr>
          <w:rFonts w:eastAsia="Times New Roman"/>
          <w:szCs w:val="24"/>
          <w:lang w:eastAsia="pl-PL"/>
        </w:rPr>
        <w:t>) w terminie 14 dni od zakończenia działania finansowanego z Nanograntu, zawierającego m.in. opis wartości i korzyści naukowej,</w:t>
      </w:r>
    </w:p>
    <w:p w14:paraId="6D2A9293" w14:textId="77777777" w:rsidR="00732C51" w:rsidRDefault="00825ADD" w:rsidP="003B59D0">
      <w:pPr>
        <w:numPr>
          <w:ilvl w:val="0"/>
          <w:numId w:val="12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dokonania rozliczenia finansowego zgodnie z obowiązującymi zasadami w UMW,</w:t>
      </w:r>
    </w:p>
    <w:p w14:paraId="1545F6B5" w14:textId="77777777" w:rsidR="00732C51" w:rsidRDefault="00825ADD" w:rsidP="003B59D0">
      <w:pPr>
        <w:numPr>
          <w:ilvl w:val="0"/>
          <w:numId w:val="12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przygotowaniu treści dotyczącej zrealizowanego działania, w celu upublicznienia na stronie Młodej Nauki,</w:t>
      </w:r>
    </w:p>
    <w:p w14:paraId="38164769" w14:textId="77777777" w:rsidR="00732C51" w:rsidRDefault="00825ADD" w:rsidP="003B59D0">
      <w:pPr>
        <w:numPr>
          <w:ilvl w:val="0"/>
          <w:numId w:val="12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promowania programu Młoda Nauka oraz działalności naukowej w ramach akademickiej i pozaakademickiej społeczności. </w:t>
      </w:r>
    </w:p>
    <w:p w14:paraId="49BE4FD3" w14:textId="77777777" w:rsidR="00732C51" w:rsidRDefault="00732C51">
      <w:pPr>
        <w:spacing w:after="0" w:line="360" w:lineRule="auto"/>
        <w:jc w:val="center"/>
        <w:outlineLvl w:val="2"/>
        <w:rPr>
          <w:b/>
          <w:bCs/>
          <w:szCs w:val="24"/>
        </w:rPr>
      </w:pPr>
    </w:p>
    <w:p w14:paraId="250932D6" w14:textId="77777777" w:rsidR="00732C51" w:rsidRDefault="00825ADD">
      <w:pPr>
        <w:spacing w:after="0" w:line="360" w:lineRule="auto"/>
        <w:jc w:val="center"/>
        <w:outlineLvl w:val="2"/>
      </w:pPr>
      <w:r>
        <w:rPr>
          <w:b/>
          <w:bCs/>
          <w:szCs w:val="24"/>
        </w:rPr>
        <w:t xml:space="preserve">§ 9 </w:t>
      </w:r>
      <w:r>
        <w:rPr>
          <w:rFonts w:eastAsia="Times New Roman"/>
          <w:b/>
          <w:bCs/>
          <w:szCs w:val="24"/>
          <w:lang w:eastAsia="pl-PL"/>
        </w:rPr>
        <w:t>Postanowienia końcowe</w:t>
      </w:r>
    </w:p>
    <w:p w14:paraId="6CF005C5" w14:textId="77777777" w:rsidR="00732C51" w:rsidRDefault="00825ADD" w:rsidP="003B59D0">
      <w:pPr>
        <w:numPr>
          <w:ilvl w:val="0"/>
          <w:numId w:val="13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Wszelkie kwestie sporne dotyczące realizacji działania Nanograntów rozstrzyga Komitet Sterujący IDUB w porozumieniu z władzami Uczelni.</w:t>
      </w:r>
    </w:p>
    <w:p w14:paraId="4F1A4217" w14:textId="77777777" w:rsidR="00732C51" w:rsidRDefault="00825ADD" w:rsidP="003B59D0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Times New Roman"/>
          <w:szCs w:val="24"/>
          <w:lang w:eastAsia="pl-PL"/>
        </w:rPr>
        <w:t>Regulamin może ulegać zmianom w przypadku nowych wytycznych Ministerstwa Nauki i Szkolnictwa Wyższego oraz zgodnie z aktualnymi potrzebami Uczelni, a także</w:t>
      </w:r>
      <w:r>
        <w:rPr>
          <w:szCs w:val="24"/>
        </w:rPr>
        <w:t xml:space="preserve"> w sytuacji gdy konieczność wprowadzenia zmian wynika z przepisów powszechnie obowiązującego prawa lub innych regulacji wewnętrznych Uczelni</w:t>
      </w:r>
      <w:r>
        <w:rPr>
          <w:rFonts w:eastAsia="Times New Roman"/>
          <w:szCs w:val="24"/>
          <w:lang w:eastAsia="pl-PL"/>
        </w:rPr>
        <w:t>.</w:t>
      </w:r>
    </w:p>
    <w:p w14:paraId="3D663902" w14:textId="77777777" w:rsidR="00732C51" w:rsidRDefault="00825ADD">
      <w:pPr>
        <w:numPr>
          <w:ilvl w:val="0"/>
          <w:numId w:val="14"/>
        </w:numPr>
        <w:spacing w:after="0" w:line="360" w:lineRule="auto"/>
        <w:jc w:val="both"/>
      </w:pPr>
      <w:r>
        <w:t>W sytuacji gdy Wnioskodawca utraci status studenta, doktoranta, post-doc UMW w trakcie realizacji działania finansowanego z Nanograntu lub gdy nie może realizować takiego działania z innych przyczyn, jest zobligowany w trybie natychmiastowym do poinformowania o zaistniałym fakcie Pełnomocnika ds. opracowania Programu „Młoda Nauka” za pośrednictwem Centrum Zarządzania Projektami. Środki przeznaczone na finansowanie działań tego Wnioskodawcy zostają wówczas wstrzymane.</w:t>
      </w:r>
    </w:p>
    <w:p w14:paraId="15A5D49A" w14:textId="77777777" w:rsidR="00732C51" w:rsidRDefault="00825ADD">
      <w:pPr>
        <w:numPr>
          <w:ilvl w:val="0"/>
          <w:numId w:val="14"/>
        </w:numPr>
        <w:spacing w:after="0" w:line="360" w:lineRule="auto"/>
        <w:jc w:val="both"/>
      </w:pPr>
      <w:r>
        <w:t>W przypadku wystąpienia sytuacji wskazanych w ust. 3 Wnioskodawca, o którym mowa w  ust. 3 jest zobligowany do bezzwłocznego rozliczenia poniesionych kosztów i złożenia sprawozdania, o którym mowa w § 8 pkt 1.</w:t>
      </w:r>
    </w:p>
    <w:p w14:paraId="15D9C761" w14:textId="77777777" w:rsidR="00732C51" w:rsidRDefault="00825ADD" w:rsidP="003B59D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Załączniki do niniejszego Regulaminu stanowią: </w:t>
      </w:r>
    </w:p>
    <w:p w14:paraId="5EC286E3" w14:textId="77777777" w:rsidR="00732C51" w:rsidRDefault="00825ADD" w:rsidP="003B59D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1 – Wniosek grantowy,</w:t>
      </w:r>
    </w:p>
    <w:p w14:paraId="67BDAA93" w14:textId="77777777" w:rsidR="00732C51" w:rsidRDefault="00825ADD" w:rsidP="003B59D0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2 - Karta weryfikacji,</w:t>
      </w:r>
    </w:p>
    <w:p w14:paraId="7245A9C2" w14:textId="77777777" w:rsidR="00732C51" w:rsidRDefault="00825ADD" w:rsidP="003B59D0">
      <w:pPr>
        <w:numPr>
          <w:ilvl w:val="0"/>
          <w:numId w:val="16"/>
        </w:numPr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3 – Wzór sprawozdania z działania finansowanego z Nanograntu.</w:t>
      </w:r>
    </w:p>
    <w:p w14:paraId="758E67F1" w14:textId="77777777" w:rsidR="00732C51" w:rsidRDefault="00732C51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sectPr w:rsidR="00732C51" w:rsidSect="0046328C">
      <w:footerReference w:type="default" r:id="rId9"/>
      <w:pgSz w:w="11906" w:h="16838"/>
      <w:pgMar w:top="426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A94A" w14:textId="77777777" w:rsidR="00FB5A37" w:rsidRDefault="00FB5A37">
      <w:pPr>
        <w:spacing w:after="0" w:line="240" w:lineRule="auto"/>
      </w:pPr>
      <w:r>
        <w:separator/>
      </w:r>
    </w:p>
  </w:endnote>
  <w:endnote w:type="continuationSeparator" w:id="0">
    <w:p w14:paraId="3FC8246F" w14:textId="77777777" w:rsidR="00FB5A37" w:rsidRDefault="00FB5A37">
      <w:pPr>
        <w:spacing w:after="0" w:line="240" w:lineRule="auto"/>
      </w:pPr>
      <w:r>
        <w:continuationSeparator/>
      </w:r>
    </w:p>
  </w:endnote>
  <w:endnote w:type="continuationNotice" w:id="1">
    <w:p w14:paraId="0936DDEE" w14:textId="77777777" w:rsidR="00FB5A37" w:rsidRDefault="00FB5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an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roman"/>
    <w:pitch w:val="default"/>
  </w:font>
  <w:font w:name="DejaVu Sans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00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5610" w14:textId="75C105DA" w:rsidR="00137DF7" w:rsidRDefault="00825ADD">
    <w:pPr>
      <w:pStyle w:val="Stopka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3D0A6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7AB3818B" w14:textId="77777777" w:rsidR="00137DF7" w:rsidRDefault="00FB5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84CF" w14:textId="77777777" w:rsidR="00FB5A37" w:rsidRDefault="00FB5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6959AB" w14:textId="77777777" w:rsidR="00FB5A37" w:rsidRDefault="00FB5A37">
      <w:pPr>
        <w:spacing w:after="0" w:line="240" w:lineRule="auto"/>
      </w:pPr>
      <w:r>
        <w:continuationSeparator/>
      </w:r>
    </w:p>
  </w:footnote>
  <w:footnote w:type="continuationNotice" w:id="1">
    <w:p w14:paraId="0F98568F" w14:textId="77777777" w:rsidR="00FB5A37" w:rsidRDefault="00FB5A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6F"/>
    <w:multiLevelType w:val="multilevel"/>
    <w:tmpl w:val="588C844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867612"/>
    <w:multiLevelType w:val="multilevel"/>
    <w:tmpl w:val="BFB63C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E060A5"/>
    <w:multiLevelType w:val="multilevel"/>
    <w:tmpl w:val="D02EF7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B00D69"/>
    <w:multiLevelType w:val="multilevel"/>
    <w:tmpl w:val="37787DD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" w15:restartNumberingAfterBreak="0">
    <w:nsid w:val="0C19497F"/>
    <w:multiLevelType w:val="multilevel"/>
    <w:tmpl w:val="C6E48D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E9B01F0"/>
    <w:multiLevelType w:val="multilevel"/>
    <w:tmpl w:val="FB741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658516E"/>
    <w:multiLevelType w:val="multilevel"/>
    <w:tmpl w:val="5B1005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94B59"/>
    <w:multiLevelType w:val="multilevel"/>
    <w:tmpl w:val="9F7A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5C1502"/>
    <w:multiLevelType w:val="multilevel"/>
    <w:tmpl w:val="55529478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D03339D"/>
    <w:multiLevelType w:val="multilevel"/>
    <w:tmpl w:val="711A895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5FC7B0D"/>
    <w:multiLevelType w:val="multilevel"/>
    <w:tmpl w:val="DB48D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D071309"/>
    <w:multiLevelType w:val="multilevel"/>
    <w:tmpl w:val="0328791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148593E"/>
    <w:multiLevelType w:val="multilevel"/>
    <w:tmpl w:val="CA70CFD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248B1"/>
    <w:multiLevelType w:val="multilevel"/>
    <w:tmpl w:val="CAFA57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E10E9"/>
    <w:multiLevelType w:val="multilevel"/>
    <w:tmpl w:val="ECB2EDE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F67BB"/>
    <w:multiLevelType w:val="multilevel"/>
    <w:tmpl w:val="6640089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260465F"/>
    <w:multiLevelType w:val="multilevel"/>
    <w:tmpl w:val="E8C68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4F3031B"/>
    <w:multiLevelType w:val="multilevel"/>
    <w:tmpl w:val="91BE97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955326D"/>
    <w:multiLevelType w:val="multilevel"/>
    <w:tmpl w:val="5EE6317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19" w15:restartNumberingAfterBreak="0">
    <w:nsid w:val="3AE81AB3"/>
    <w:multiLevelType w:val="multilevel"/>
    <w:tmpl w:val="E1F28882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FC3926"/>
    <w:multiLevelType w:val="multilevel"/>
    <w:tmpl w:val="3DDA245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933F9"/>
    <w:multiLevelType w:val="multilevel"/>
    <w:tmpl w:val="04CEA3DA"/>
    <w:lvl w:ilvl="0">
      <w:start w:val="1"/>
      <w:numFmt w:val="decimal"/>
      <w:lvlText w:val="%1)"/>
      <w:lvlJc w:val="left"/>
      <w:pPr>
        <w:ind w:left="19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22" w15:restartNumberingAfterBreak="0">
    <w:nsid w:val="42A3183C"/>
    <w:multiLevelType w:val="multilevel"/>
    <w:tmpl w:val="DDA20A5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A05"/>
    <w:multiLevelType w:val="multilevel"/>
    <w:tmpl w:val="021E97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8F7385"/>
    <w:multiLevelType w:val="multilevel"/>
    <w:tmpl w:val="254A0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4435A30"/>
    <w:multiLevelType w:val="multilevel"/>
    <w:tmpl w:val="6C440A6E"/>
    <w:lvl w:ilvl="0">
      <w:start w:val="1"/>
      <w:numFmt w:val="decimal"/>
      <w:lvlText w:val="%1)"/>
      <w:lvlJc w:val="left"/>
      <w:pPr>
        <w:ind w:left="19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26" w15:restartNumberingAfterBreak="0">
    <w:nsid w:val="54836A56"/>
    <w:multiLevelType w:val="multilevel"/>
    <w:tmpl w:val="549A206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an" w:hAnsi="calib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8F20E73"/>
    <w:multiLevelType w:val="multilevel"/>
    <w:tmpl w:val="05840F66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CED0F3E"/>
    <w:multiLevelType w:val="multilevel"/>
    <w:tmpl w:val="EDF69C8E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F950647"/>
    <w:multiLevelType w:val="multilevel"/>
    <w:tmpl w:val="298EB2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22"/>
  </w:num>
  <w:num w:numId="5">
    <w:abstractNumId w:val="9"/>
  </w:num>
  <w:num w:numId="6">
    <w:abstractNumId w:val="20"/>
  </w:num>
  <w:num w:numId="7">
    <w:abstractNumId w:val="11"/>
  </w:num>
  <w:num w:numId="8">
    <w:abstractNumId w:val="7"/>
  </w:num>
  <w:num w:numId="9">
    <w:abstractNumId w:val="15"/>
  </w:num>
  <w:num w:numId="10">
    <w:abstractNumId w:val="21"/>
  </w:num>
  <w:num w:numId="11">
    <w:abstractNumId w:val="17"/>
  </w:num>
  <w:num w:numId="12">
    <w:abstractNumId w:val="16"/>
  </w:num>
  <w:num w:numId="13">
    <w:abstractNumId w:val="4"/>
  </w:num>
  <w:num w:numId="14">
    <w:abstractNumId w:val="0"/>
  </w:num>
  <w:num w:numId="15">
    <w:abstractNumId w:val="27"/>
  </w:num>
  <w:num w:numId="16">
    <w:abstractNumId w:val="3"/>
  </w:num>
  <w:num w:numId="17">
    <w:abstractNumId w:val="13"/>
  </w:num>
  <w:num w:numId="18">
    <w:abstractNumId w:val="8"/>
  </w:num>
  <w:num w:numId="19">
    <w:abstractNumId w:val="12"/>
  </w:num>
  <w:num w:numId="20">
    <w:abstractNumId w:val="2"/>
  </w:num>
  <w:num w:numId="21">
    <w:abstractNumId w:val="19"/>
  </w:num>
  <w:num w:numId="22">
    <w:abstractNumId w:val="14"/>
  </w:num>
  <w:num w:numId="23">
    <w:abstractNumId w:val="10"/>
  </w:num>
  <w:num w:numId="24">
    <w:abstractNumId w:val="23"/>
  </w:num>
  <w:num w:numId="25">
    <w:abstractNumId w:val="25"/>
  </w:num>
  <w:num w:numId="26">
    <w:abstractNumId w:val="24"/>
  </w:num>
  <w:num w:numId="27">
    <w:abstractNumId w:val="5"/>
  </w:num>
  <w:num w:numId="28">
    <w:abstractNumId w:val="1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51"/>
    <w:rsid w:val="00063FD9"/>
    <w:rsid w:val="00134166"/>
    <w:rsid w:val="003B59D0"/>
    <w:rsid w:val="003D0A67"/>
    <w:rsid w:val="0046328C"/>
    <w:rsid w:val="0050580E"/>
    <w:rsid w:val="00575EB3"/>
    <w:rsid w:val="00732C51"/>
    <w:rsid w:val="00825ADD"/>
    <w:rsid w:val="008354D2"/>
    <w:rsid w:val="00896444"/>
    <w:rsid w:val="009D435C"/>
    <w:rsid w:val="009D45A9"/>
    <w:rsid w:val="00A14359"/>
    <w:rsid w:val="00AC30EB"/>
    <w:rsid w:val="00CF3C0F"/>
    <w:rsid w:val="00F808AF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F79F"/>
  <w15:docId w15:val="{49751F01-B7A7-4E86-B633-EFE1F23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9D0"/>
    <w:pPr>
      <w:suppressAutoHyphens/>
      <w:spacing w:after="160" w:line="254" w:lineRule="auto"/>
    </w:pPr>
    <w:rPr>
      <w:sz w:val="24"/>
    </w:rPr>
  </w:style>
  <w:style w:type="paragraph" w:styleId="Nagwek3">
    <w:name w:val="heading 3"/>
    <w:basedOn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styleId="NormalnyWeb">
    <w:name w:val="Normal (Web)"/>
    <w:basedOn w:val="Normalny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erandFooter">
    <w:name w:val="Header and Foote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B59D0"/>
    <w:pPr>
      <w:spacing w:before="120" w:line="249" w:lineRule="auto"/>
      <w:ind w:left="720"/>
      <w:jc w:val="both"/>
    </w:pPr>
    <w:rPr>
      <w:rFonts w:ascii="Times New Roman" w:eastAsia="SimSun" w:hAnsi="Times New Roman" w:cs="font700"/>
      <w:lang w:eastAsia="ar-SA"/>
    </w:rPr>
  </w:style>
  <w:style w:type="paragraph" w:styleId="Poprawka">
    <w:name w:val="Revision"/>
    <w:pPr>
      <w:suppressAutoHyphens/>
    </w:pPr>
  </w:style>
  <w:style w:type="paragraph" w:customStyle="1" w:styleId="Default">
    <w:name w:val="Default"/>
    <w:pPr>
      <w:suppressAutoHyphens/>
    </w:pPr>
    <w:rPr>
      <w:rFonts w:ascii="Arial" w:hAnsi="Arial"/>
      <w:color w:val="000000"/>
      <w:sz w:val="24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Biecalista1">
    <w:name w:val="Bieżąca lista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danauka.umw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w.edu.pl/pl/zarzadzenia/zarzadzenia-rektora/2024/nr-145xvi-r2024-realizacja-strategii-rozwoju-umw-w-swie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>zarz JM Rektora nt. słuz. podr. za granicę</dc:subject>
  <dc:creator>Grażyna Szajerka</dc:creator>
  <dc:description/>
  <cp:lastModifiedBy>MMiędlar</cp:lastModifiedBy>
  <cp:revision>2</cp:revision>
  <cp:lastPrinted>2025-07-11T04:38:00Z</cp:lastPrinted>
  <dcterms:created xsi:type="dcterms:W3CDTF">2025-08-20T13:22:00Z</dcterms:created>
  <dcterms:modified xsi:type="dcterms:W3CDTF">2025-08-20T13:22:00Z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897e14bc-6d36-40a0-b225-b6330d11ee09</vt:lpwstr>
  </property>
</Properties>
</file>