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8" w:rsidRDefault="00D44BB4" w:rsidP="00C312BF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Regulamin bezpieczeństwa podczas zajęć dydaktycznych obowiązujący w</w:t>
      </w:r>
    </w:p>
    <w:p w:rsidR="004E6378" w:rsidRDefault="00D44BB4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III Katedrze i Klinice Pediatrii, Immunologii i Reumatologii Wieku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Rozwojowego</w:t>
      </w:r>
    </w:p>
    <w:p w:rsidR="004E6378" w:rsidRDefault="00D44BB4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Uniwersytetu Medycznego im. Piastów Śląskich we Wrocławiu</w:t>
      </w:r>
    </w:p>
    <w:p w:rsidR="004E6378" w:rsidRDefault="00D44BB4">
      <w:pPr>
        <w:spacing w:line="240" w:lineRule="exact"/>
        <w:ind w:left="720"/>
        <w:jc w:val="center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(prowadzonych na bazie obcej Wojewódzkiego Szpitala Specjalistycznego</w:t>
      </w:r>
    </w:p>
    <w:p w:rsidR="004E6378" w:rsidRDefault="00D44BB4">
      <w:pPr>
        <w:spacing w:line="240" w:lineRule="exact"/>
        <w:ind w:left="720"/>
        <w:jc w:val="center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 xml:space="preserve">im. J.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Gromkowskiego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 xml:space="preserve"> we Wrocławiu)</w:t>
      </w:r>
    </w:p>
    <w:p w:rsidR="004E6378" w:rsidRDefault="00BA6B73">
      <w:pPr>
        <w:spacing w:line="240" w:lineRule="exact"/>
        <w:ind w:left="2832" w:firstLine="708"/>
      </w:pPr>
      <w:r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  <w:t>w roku akademickim 2025/2026</w:t>
      </w:r>
    </w:p>
    <w:p w:rsidR="004E6378" w:rsidRDefault="004E6378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  <w:bookmarkStart w:id="0" w:name="_GoBack"/>
      <w:bookmarkEnd w:id="0"/>
    </w:p>
    <w:p w:rsidR="004E6378" w:rsidRDefault="004E6378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</w:p>
    <w:p w:rsidR="004E6378" w:rsidRDefault="004E6378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</w:p>
    <w:p w:rsidR="004E6378" w:rsidRDefault="00D44BB4">
      <w:pPr>
        <w:numPr>
          <w:ilvl w:val="0"/>
          <w:numId w:val="1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W czasie zajęć dydaktycznych z propedeutyki pediatrii realizowanych dla studentów III roku Wydziału Lekarskiego oraz dla studentów English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Division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obowiązują ogólne przepisy BHP zgodne z regulaminami Uniwersytetu Medycznego we Wrocławiu oraz  Wojewódzkiego Szpitala Specjalistycznego im. J.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Gromkowskiego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we Wrocławiu.</w:t>
      </w:r>
    </w:p>
    <w:p w:rsidR="004E6378" w:rsidRDefault="00D44BB4">
      <w:pPr>
        <w:numPr>
          <w:ilvl w:val="0"/>
          <w:numId w:val="1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Przed rozpoczęciem I roku studiów studenci odbywają obligatoryjne szkolenie z zakresu BHP w Uniwersytecie Medycznym.</w:t>
      </w:r>
    </w:p>
    <w:p w:rsidR="004E6378" w:rsidRDefault="00D44BB4">
      <w:pPr>
        <w:numPr>
          <w:ilvl w:val="0"/>
          <w:numId w:val="1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W dniu rozpoczęcia zajęć z propedeutyki pediatrii studenci są informowani o obowiązujących przepisach BHP na terenie szpitala.</w:t>
      </w:r>
    </w:p>
    <w:p w:rsidR="004E6378" w:rsidRDefault="00D44BB4">
      <w:pPr>
        <w:numPr>
          <w:ilvl w:val="0"/>
          <w:numId w:val="1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Studentów obowiązuje przestrzeganie zasad bezpieczeństwa własnego i pacjentów zgodnie z zaleceniami asystenta prowadzącego zajęcia.</w:t>
      </w:r>
    </w:p>
    <w:p w:rsidR="004E6378" w:rsidRDefault="00D44BB4">
      <w:pPr>
        <w:numPr>
          <w:ilvl w:val="0"/>
          <w:numId w:val="1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Badanie pacjentów prowadzone jest jedynie w miejscu wyznaczonym przez asystenta oraz pod jego osobistym nadzorem.</w:t>
      </w:r>
    </w:p>
    <w:p w:rsidR="004E6378" w:rsidRDefault="00D44BB4">
      <w:pPr>
        <w:numPr>
          <w:ilvl w:val="0"/>
          <w:numId w:val="1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Zabrania się studentom samodzielnego podejmowania decyzji dotyczących pacjentów.</w:t>
      </w:r>
    </w:p>
    <w:p w:rsidR="004E6378" w:rsidRDefault="004E6378">
      <w:pPr>
        <w:spacing w:line="240" w:lineRule="exact"/>
        <w:ind w:left="360"/>
        <w:rPr>
          <w:rFonts w:ascii="Times New Roman" w:eastAsia="Times New Roman" w:hAnsi="Times New Roman" w:cs="Times New Roman"/>
          <w:color w:val="00000A"/>
          <w:sz w:val="24"/>
        </w:rPr>
      </w:pPr>
    </w:p>
    <w:p w:rsidR="004E6378" w:rsidRDefault="004E6378">
      <w:pPr>
        <w:spacing w:line="240" w:lineRule="exact"/>
        <w:ind w:left="360"/>
        <w:rPr>
          <w:rFonts w:ascii="Times New Roman" w:eastAsia="Times New Roman" w:hAnsi="Times New Roman" w:cs="Times New Roman"/>
          <w:color w:val="00000A"/>
          <w:sz w:val="24"/>
        </w:rPr>
      </w:pPr>
    </w:p>
    <w:p w:rsidR="004E6378" w:rsidRDefault="00D44BB4">
      <w:pPr>
        <w:spacing w:line="240" w:lineRule="exact"/>
        <w:ind w:left="360"/>
      </w:pP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   Adiunkt dydaktyczny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>p.o</w:t>
      </w:r>
      <w:proofErr w:type="spellEnd"/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Kierownika </w:t>
      </w:r>
    </w:p>
    <w:p w:rsidR="004E6378" w:rsidRPr="00530020" w:rsidRDefault="00D44BB4">
      <w:pPr>
        <w:spacing w:after="160" w:line="259" w:lineRule="exact"/>
        <w:rPr>
          <w:rFonts w:ascii="Times New Roman" w:eastAsia="Times New Roman" w:hAnsi="Times New Roman" w:cs="Times New Roman"/>
          <w:b/>
          <w:i/>
          <w:color w:val="00000A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     dr n. med. </w:t>
      </w:r>
      <w:r w:rsidR="00530020"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Karolina </w:t>
      </w:r>
      <w:proofErr w:type="spellStart"/>
      <w:r w:rsidR="00530020">
        <w:rPr>
          <w:rFonts w:ascii="Times New Roman" w:eastAsia="Times New Roman" w:hAnsi="Times New Roman" w:cs="Times New Roman"/>
          <w:b/>
          <w:i/>
          <w:color w:val="00000A"/>
          <w:sz w:val="20"/>
        </w:rPr>
        <w:t>Pieniawska</w:t>
      </w:r>
      <w:proofErr w:type="spellEnd"/>
      <w:r w:rsidR="00530020">
        <w:rPr>
          <w:rFonts w:ascii="Times New Roman" w:eastAsia="Times New Roman" w:hAnsi="Times New Roman" w:cs="Times New Roman"/>
          <w:b/>
          <w:i/>
          <w:color w:val="00000A"/>
          <w:sz w:val="20"/>
        </w:rPr>
        <w:t>-Śmiech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                       </w:t>
      </w:r>
      <w:r w:rsidR="00530020"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 xml:space="preserve"> dr n. med. Aleksandra Lewandowicz-Uszyńska</w:t>
      </w:r>
    </w:p>
    <w:p w:rsidR="004E6378" w:rsidRDefault="004E6378">
      <w:pPr>
        <w:spacing w:line="240" w:lineRule="exact"/>
        <w:ind w:left="360"/>
        <w:jc w:val="right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</w:p>
    <w:p w:rsidR="004E6378" w:rsidRDefault="004E6378">
      <w:pPr>
        <w:spacing w:line="240" w:lineRule="exact"/>
        <w:rPr>
          <w:rFonts w:ascii="Times New Roman" w:eastAsia="Times New Roman" w:hAnsi="Times New Roman" w:cs="Times New Roman"/>
          <w:color w:val="00000A"/>
          <w:sz w:val="24"/>
        </w:rPr>
      </w:pPr>
    </w:p>
    <w:p w:rsidR="004E6378" w:rsidRDefault="004E6378">
      <w:pPr>
        <w:spacing w:line="240" w:lineRule="exact"/>
        <w:rPr>
          <w:rFonts w:ascii="Times New Roman" w:eastAsia="Times New Roman" w:hAnsi="Times New Roman" w:cs="Times New Roman"/>
          <w:color w:val="00000A"/>
          <w:sz w:val="24"/>
        </w:rPr>
      </w:pPr>
    </w:p>
    <w:p w:rsidR="004E6378" w:rsidRDefault="004E6378">
      <w:pPr>
        <w:spacing w:line="240" w:lineRule="exact"/>
        <w:rPr>
          <w:rFonts w:ascii="Times New Roman" w:eastAsia="Times New Roman" w:hAnsi="Times New Roman" w:cs="Times New Roman"/>
          <w:color w:val="00000A"/>
          <w:sz w:val="24"/>
        </w:rPr>
      </w:pPr>
    </w:p>
    <w:p w:rsidR="004E6378" w:rsidRDefault="004E6378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</w:p>
    <w:p w:rsidR="004E6378" w:rsidRDefault="004E6378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u w:val="single"/>
        </w:rPr>
      </w:pPr>
    </w:p>
    <w:p w:rsidR="004E6378" w:rsidRDefault="004E6378">
      <w:pPr>
        <w:spacing w:line="240" w:lineRule="exact"/>
      </w:pPr>
    </w:p>
    <w:sectPr w:rsidR="004E6378" w:rsidSect="00C312BF">
      <w:pgSz w:w="12240" w:h="15840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6FEF"/>
    <w:multiLevelType w:val="multilevel"/>
    <w:tmpl w:val="E88839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5F41F2"/>
    <w:multiLevelType w:val="multilevel"/>
    <w:tmpl w:val="4CF84A7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6378"/>
    <w:rsid w:val="004E6378"/>
    <w:rsid w:val="00530020"/>
    <w:rsid w:val="00BA6B73"/>
    <w:rsid w:val="00C312BF"/>
    <w:rsid w:val="00D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6585"/>
  <w15:docId w15:val="{F058BC27-FA7A-4404-8AAF-10D7B6C6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UMED</cp:lastModifiedBy>
  <cp:revision>5</cp:revision>
  <dcterms:created xsi:type="dcterms:W3CDTF">2025-09-09T08:21:00Z</dcterms:created>
  <dcterms:modified xsi:type="dcterms:W3CDTF">2025-10-02T09:29:00Z</dcterms:modified>
  <dc:language>pl-PL</dc:language>
</cp:coreProperties>
</file>