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24C" w:rsidRDefault="0033724C" w:rsidP="00564305">
      <w:pPr>
        <w:jc w:val="both"/>
        <w:rPr>
          <w:b/>
          <w:lang w:val="pl-PL"/>
        </w:rPr>
      </w:pPr>
    </w:p>
    <w:p w:rsidR="00A77195" w:rsidRDefault="002F13C3" w:rsidP="00564305">
      <w:pPr>
        <w:jc w:val="both"/>
        <w:rPr>
          <w:b/>
          <w:lang w:val="pl-PL"/>
        </w:rPr>
      </w:pP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 w:rsidR="000A43F0">
        <w:rPr>
          <w:b/>
          <w:lang w:val="pl-PL"/>
        </w:rPr>
        <w:tab/>
      </w:r>
      <w:r w:rsidR="000A43F0">
        <w:rPr>
          <w:b/>
          <w:lang w:val="pl-PL"/>
        </w:rPr>
        <w:tab/>
      </w:r>
      <w:r w:rsidR="000A43F0">
        <w:rPr>
          <w:b/>
          <w:lang w:val="pl-PL"/>
        </w:rPr>
        <w:tab/>
      </w:r>
      <w:r w:rsidR="00807CE8">
        <w:rPr>
          <w:b/>
          <w:lang w:val="pl-PL"/>
        </w:rPr>
        <w:tab/>
        <w:t xml:space="preserve">Wrocław, </w:t>
      </w:r>
      <w:r w:rsidR="00382002">
        <w:rPr>
          <w:b/>
          <w:lang w:val="pl-PL"/>
        </w:rPr>
        <w:t>1</w:t>
      </w:r>
      <w:r w:rsidR="002A502B">
        <w:rPr>
          <w:b/>
          <w:lang w:val="pl-PL"/>
        </w:rPr>
        <w:t xml:space="preserve"> października</w:t>
      </w:r>
      <w:r w:rsidR="002E3A21">
        <w:rPr>
          <w:b/>
          <w:lang w:val="pl-PL"/>
        </w:rPr>
        <w:t xml:space="preserve"> 2025</w:t>
      </w:r>
      <w:r w:rsidR="00685F97">
        <w:rPr>
          <w:b/>
          <w:lang w:val="pl-PL"/>
        </w:rPr>
        <w:t>r.</w:t>
      </w:r>
    </w:p>
    <w:p w:rsidR="00A77195" w:rsidRDefault="00A77195" w:rsidP="00564305">
      <w:pPr>
        <w:spacing w:line="360" w:lineRule="auto"/>
        <w:jc w:val="both"/>
        <w:rPr>
          <w:b/>
          <w:lang w:val="pl-PL"/>
        </w:rPr>
      </w:pPr>
    </w:p>
    <w:p w:rsidR="00A77195" w:rsidRPr="00677305" w:rsidRDefault="00A77195" w:rsidP="00564305">
      <w:pPr>
        <w:spacing w:line="360" w:lineRule="auto"/>
        <w:jc w:val="both"/>
        <w:rPr>
          <w:b/>
          <w:lang w:val="pl-PL"/>
        </w:rPr>
      </w:pPr>
      <w:r w:rsidRPr="00677305">
        <w:rPr>
          <w:b/>
          <w:lang w:val="pl-PL"/>
        </w:rPr>
        <w:t xml:space="preserve">Katedra i Zakład Chemii Organicznej </w:t>
      </w:r>
      <w:r w:rsidR="00382002">
        <w:rPr>
          <w:b/>
          <w:lang w:val="pl-PL"/>
        </w:rPr>
        <w:t xml:space="preserve">i Technologii Leków WF </w:t>
      </w:r>
      <w:r w:rsidRPr="00677305">
        <w:rPr>
          <w:b/>
          <w:lang w:val="pl-PL"/>
        </w:rPr>
        <w:t>Uniwersytetu Medycznego we Wrocławiu</w:t>
      </w:r>
    </w:p>
    <w:p w:rsidR="00A77195" w:rsidRDefault="00A77195" w:rsidP="00564305">
      <w:pPr>
        <w:spacing w:line="360" w:lineRule="auto"/>
        <w:jc w:val="both"/>
        <w:rPr>
          <w:lang w:val="pl-PL"/>
        </w:rPr>
      </w:pPr>
    </w:p>
    <w:p w:rsidR="00A77195" w:rsidRPr="00FC6134" w:rsidRDefault="002E3A21" w:rsidP="00564305">
      <w:pPr>
        <w:spacing w:line="360" w:lineRule="auto"/>
        <w:jc w:val="both"/>
        <w:rPr>
          <w:b/>
          <w:lang w:val="pl-PL"/>
        </w:rPr>
      </w:pPr>
      <w:r>
        <w:rPr>
          <w:b/>
          <w:lang w:val="pl-PL"/>
        </w:rPr>
        <w:t xml:space="preserve">Warunki uczestnictwa w  zajęciach </w:t>
      </w:r>
      <w:r w:rsidR="00A77195" w:rsidRPr="00FC6134">
        <w:rPr>
          <w:b/>
          <w:lang w:val="pl-PL"/>
        </w:rPr>
        <w:t xml:space="preserve"> laboratoryjnych z chemii organicznej dla studentów II roku Farmacji:</w:t>
      </w:r>
    </w:p>
    <w:p w:rsidR="00A77195" w:rsidRDefault="00A77195" w:rsidP="00564305">
      <w:pPr>
        <w:spacing w:line="360" w:lineRule="auto"/>
        <w:jc w:val="both"/>
        <w:rPr>
          <w:lang w:val="pl-PL"/>
        </w:rPr>
      </w:pPr>
      <w:r>
        <w:rPr>
          <w:lang w:val="pl-PL"/>
        </w:rPr>
        <w:t xml:space="preserve">Na zajęciach obowiązują następujące zasady i </w:t>
      </w:r>
      <w:r w:rsidR="00826CE3">
        <w:rPr>
          <w:lang w:val="pl-PL"/>
        </w:rPr>
        <w:t>warunki zaliczenia</w:t>
      </w:r>
      <w:r>
        <w:rPr>
          <w:lang w:val="pl-PL"/>
        </w:rPr>
        <w:t xml:space="preserve"> </w:t>
      </w:r>
      <w:r w:rsidR="002E3A21">
        <w:rPr>
          <w:lang w:val="pl-PL"/>
        </w:rPr>
        <w:t>zadań</w:t>
      </w:r>
      <w:bookmarkStart w:id="0" w:name="_GoBack"/>
      <w:bookmarkEnd w:id="0"/>
      <w:r>
        <w:rPr>
          <w:lang w:val="pl-PL"/>
        </w:rPr>
        <w:t>:</w:t>
      </w:r>
    </w:p>
    <w:p w:rsidR="00A77195" w:rsidRDefault="00A77195" w:rsidP="00564305">
      <w:pPr>
        <w:spacing w:line="360" w:lineRule="auto"/>
        <w:jc w:val="both"/>
        <w:rPr>
          <w:lang w:val="pl-PL"/>
        </w:rPr>
      </w:pPr>
    </w:p>
    <w:p w:rsidR="00A77195" w:rsidRPr="00C459E9" w:rsidRDefault="00E5191B" w:rsidP="00564305">
      <w:pPr>
        <w:numPr>
          <w:ilvl w:val="0"/>
          <w:numId w:val="1"/>
        </w:numPr>
        <w:spacing w:line="360" w:lineRule="auto"/>
        <w:jc w:val="both"/>
        <w:rPr>
          <w:lang w:val="pl-PL"/>
        </w:rPr>
      </w:pPr>
      <w:r w:rsidRPr="00564305">
        <w:rPr>
          <w:b/>
          <w:lang w:val="pl-PL"/>
        </w:rPr>
        <w:t>Ubiór laboratoryjny</w:t>
      </w:r>
      <w:r>
        <w:rPr>
          <w:lang w:val="pl-PL"/>
        </w:rPr>
        <w:t xml:space="preserve"> </w:t>
      </w:r>
      <w:r w:rsidR="00ED4749">
        <w:rPr>
          <w:lang w:val="pl-PL"/>
        </w:rPr>
        <w:t>stanowią</w:t>
      </w:r>
      <w:r>
        <w:rPr>
          <w:lang w:val="pl-PL"/>
        </w:rPr>
        <w:t xml:space="preserve"> </w:t>
      </w:r>
      <w:r w:rsidR="00A77195" w:rsidRPr="001144AF">
        <w:rPr>
          <w:lang w:val="pl-PL"/>
        </w:rPr>
        <w:t>fa</w:t>
      </w:r>
      <w:r w:rsidR="00A77195">
        <w:rPr>
          <w:lang w:val="pl-PL"/>
        </w:rPr>
        <w:t xml:space="preserve">rtuch i okulary ochronne, </w:t>
      </w:r>
      <w:r w:rsidR="00ED4749">
        <w:rPr>
          <w:lang w:val="pl-PL"/>
        </w:rPr>
        <w:t xml:space="preserve">które </w:t>
      </w:r>
      <w:r w:rsidR="00564305">
        <w:rPr>
          <w:lang w:val="pl-PL"/>
        </w:rPr>
        <w:t xml:space="preserve">należy nosić </w:t>
      </w:r>
      <w:r w:rsidR="00A77195">
        <w:rPr>
          <w:lang w:val="pl-PL"/>
        </w:rPr>
        <w:t>w czasie wykony</w:t>
      </w:r>
      <w:r w:rsidR="00564305">
        <w:rPr>
          <w:lang w:val="pl-PL"/>
        </w:rPr>
        <w:t xml:space="preserve">wania czynności laboratoryjnych. </w:t>
      </w:r>
      <w:r w:rsidR="00516F16">
        <w:rPr>
          <w:lang w:val="pl-PL"/>
        </w:rPr>
        <w:t>Znajo</w:t>
      </w:r>
      <w:r w:rsidR="00AC37D7">
        <w:rPr>
          <w:lang w:val="pl-PL"/>
        </w:rPr>
        <w:t>mość zasad BHP je</w:t>
      </w:r>
      <w:r w:rsidR="00564305">
        <w:rPr>
          <w:lang w:val="pl-PL"/>
        </w:rPr>
        <w:t>st obowiązkowa, należy</w:t>
      </w:r>
      <w:r w:rsidR="00564305" w:rsidRPr="00564305">
        <w:rPr>
          <w:lang w:val="pl-PL"/>
        </w:rPr>
        <w:t xml:space="preserve"> </w:t>
      </w:r>
      <w:r w:rsidR="00564305">
        <w:rPr>
          <w:lang w:val="pl-PL"/>
        </w:rPr>
        <w:t>przestrzegać zasad bezpieczeństwa</w:t>
      </w:r>
    </w:p>
    <w:p w:rsidR="00A77195" w:rsidRDefault="00A77195" w:rsidP="00564305">
      <w:pPr>
        <w:numPr>
          <w:ilvl w:val="0"/>
          <w:numId w:val="1"/>
        </w:numPr>
        <w:spacing w:line="360" w:lineRule="auto"/>
        <w:jc w:val="both"/>
        <w:rPr>
          <w:lang w:val="pl-PL"/>
        </w:rPr>
      </w:pPr>
      <w:r w:rsidRPr="00564305">
        <w:rPr>
          <w:b/>
          <w:lang w:val="pl-PL"/>
        </w:rPr>
        <w:t>Zeszyt laboratoryjny</w:t>
      </w:r>
      <w:r>
        <w:rPr>
          <w:lang w:val="pl-PL"/>
        </w:rPr>
        <w:t xml:space="preserve"> </w:t>
      </w:r>
      <w:r w:rsidR="00CB7560">
        <w:rPr>
          <w:lang w:val="pl-PL"/>
        </w:rPr>
        <w:t xml:space="preserve">musi być </w:t>
      </w:r>
      <w:r>
        <w:rPr>
          <w:lang w:val="pl-PL"/>
        </w:rPr>
        <w:t>min. 80 kartkowy</w:t>
      </w:r>
      <w:r w:rsidR="00CB7560">
        <w:rPr>
          <w:lang w:val="pl-PL"/>
        </w:rPr>
        <w:t>, w kratkę,</w:t>
      </w:r>
      <w:r>
        <w:rPr>
          <w:lang w:val="pl-PL"/>
        </w:rPr>
        <w:t xml:space="preserve"> z twardą oprawą</w:t>
      </w:r>
      <w:r w:rsidR="00564305">
        <w:rPr>
          <w:lang w:val="pl-PL"/>
        </w:rPr>
        <w:t>,</w:t>
      </w:r>
      <w:r>
        <w:rPr>
          <w:lang w:val="pl-PL"/>
        </w:rPr>
        <w:t xml:space="preserve"> z bezwzględnie ponumerowanymi stronami. Wszelkie notatki laboratoryjne należy prowadzić w zeszycie laboratoryjnym, robienie notatek na luźnych kartk</w:t>
      </w:r>
      <w:r w:rsidR="00FC310C">
        <w:rPr>
          <w:lang w:val="pl-PL"/>
        </w:rPr>
        <w:t>a</w:t>
      </w:r>
      <w:r>
        <w:rPr>
          <w:lang w:val="pl-PL"/>
        </w:rPr>
        <w:t>ch i wyryw</w:t>
      </w:r>
      <w:r w:rsidR="00E777AF">
        <w:rPr>
          <w:lang w:val="pl-PL"/>
        </w:rPr>
        <w:t>a</w:t>
      </w:r>
      <w:r>
        <w:rPr>
          <w:lang w:val="pl-PL"/>
        </w:rPr>
        <w:t>nie ponumerowanych stron z zeszytu laboratoryjnego jest niedopuszczalne. Zeszyt laboratoryjny należy zdać prowadzącemu na ostatnich zajęciach.</w:t>
      </w:r>
    </w:p>
    <w:p w:rsidR="00A77195" w:rsidRDefault="00A77195" w:rsidP="00564305">
      <w:pPr>
        <w:numPr>
          <w:ilvl w:val="0"/>
          <w:numId w:val="1"/>
        </w:numPr>
        <w:spacing w:line="360" w:lineRule="auto"/>
        <w:jc w:val="both"/>
        <w:rPr>
          <w:lang w:val="pl-PL"/>
        </w:rPr>
      </w:pPr>
      <w:r>
        <w:rPr>
          <w:lang w:val="pl-PL"/>
        </w:rPr>
        <w:t xml:space="preserve">Każdy pojemnik ze związkami chemicznymi musi posiadać </w:t>
      </w:r>
      <w:r w:rsidR="00564305">
        <w:rPr>
          <w:lang w:val="pl-PL"/>
        </w:rPr>
        <w:t xml:space="preserve">odpowiednio opisaną </w:t>
      </w:r>
      <w:r>
        <w:rPr>
          <w:lang w:val="pl-PL"/>
        </w:rPr>
        <w:t xml:space="preserve">etykietę informującą </w:t>
      </w:r>
      <w:r w:rsidR="00564305">
        <w:rPr>
          <w:lang w:val="pl-PL"/>
        </w:rPr>
        <w:br/>
      </w:r>
      <w:r>
        <w:rPr>
          <w:lang w:val="pl-PL"/>
        </w:rPr>
        <w:t>o jego zawartości</w:t>
      </w:r>
      <w:r w:rsidR="00564305">
        <w:rPr>
          <w:lang w:val="pl-PL"/>
        </w:rPr>
        <w:t>. M</w:t>
      </w:r>
      <w:r>
        <w:rPr>
          <w:lang w:val="pl-PL"/>
        </w:rPr>
        <w:t>ożna uż</w:t>
      </w:r>
      <w:r w:rsidR="009C2648">
        <w:rPr>
          <w:lang w:val="pl-PL"/>
        </w:rPr>
        <w:t>y</w:t>
      </w:r>
      <w:r w:rsidR="00826CE3">
        <w:rPr>
          <w:lang w:val="pl-PL"/>
        </w:rPr>
        <w:t>wać pisaków</w:t>
      </w:r>
      <w:r>
        <w:rPr>
          <w:lang w:val="pl-PL"/>
        </w:rPr>
        <w:t xml:space="preserve"> do pisania po szkle (markery)</w:t>
      </w:r>
      <w:r w:rsidR="00564305">
        <w:rPr>
          <w:lang w:val="pl-PL"/>
        </w:rPr>
        <w:t>, w celu opis</w:t>
      </w:r>
      <w:r>
        <w:rPr>
          <w:lang w:val="pl-PL"/>
        </w:rPr>
        <w:t>ania zawartości przechowywanej w kol</w:t>
      </w:r>
      <w:r w:rsidR="00564305">
        <w:rPr>
          <w:lang w:val="pl-PL"/>
        </w:rPr>
        <w:t>bach i zlewkach laboratoryjnych</w:t>
      </w:r>
      <w:r>
        <w:rPr>
          <w:lang w:val="pl-PL"/>
        </w:rPr>
        <w:t>.</w:t>
      </w:r>
    </w:p>
    <w:p w:rsidR="00A77195" w:rsidRDefault="00A77195" w:rsidP="00564305">
      <w:pPr>
        <w:numPr>
          <w:ilvl w:val="0"/>
          <w:numId w:val="1"/>
        </w:numPr>
        <w:spacing w:line="360" w:lineRule="auto"/>
        <w:jc w:val="both"/>
        <w:rPr>
          <w:lang w:val="pl-PL"/>
        </w:rPr>
      </w:pPr>
      <w:r>
        <w:rPr>
          <w:lang w:val="pl-PL"/>
        </w:rPr>
        <w:t>Przy wykon</w:t>
      </w:r>
      <w:r w:rsidR="009B23E8">
        <w:rPr>
          <w:lang w:val="pl-PL"/>
        </w:rPr>
        <w:t>yw</w:t>
      </w:r>
      <w:r w:rsidR="00E5191B">
        <w:rPr>
          <w:lang w:val="pl-PL"/>
        </w:rPr>
        <w:t xml:space="preserve">aniu zadania praktycznego </w:t>
      </w:r>
      <w:r>
        <w:rPr>
          <w:lang w:val="pl-PL"/>
        </w:rPr>
        <w:t>obowiązuje zasad</w:t>
      </w:r>
      <w:r w:rsidR="00E5191B">
        <w:rPr>
          <w:lang w:val="pl-PL"/>
        </w:rPr>
        <w:t>a</w:t>
      </w:r>
      <w:r>
        <w:rPr>
          <w:lang w:val="pl-PL"/>
        </w:rPr>
        <w:t xml:space="preserve"> utrzymywania porządku i czystości na stole laboratoryjnym (</w:t>
      </w:r>
      <w:r w:rsidR="00ED4749">
        <w:rPr>
          <w:lang w:val="pl-PL"/>
        </w:rPr>
        <w:t xml:space="preserve">należy </w:t>
      </w:r>
      <w:r>
        <w:rPr>
          <w:lang w:val="pl-PL"/>
        </w:rPr>
        <w:t>mieć ze sobą ściereczki i płyn do mycia szkła).</w:t>
      </w:r>
    </w:p>
    <w:p w:rsidR="00A77195" w:rsidRDefault="0042322E" w:rsidP="00564305">
      <w:pPr>
        <w:numPr>
          <w:ilvl w:val="0"/>
          <w:numId w:val="1"/>
        </w:numPr>
        <w:spacing w:line="360" w:lineRule="auto"/>
        <w:jc w:val="both"/>
        <w:rPr>
          <w:lang w:val="pl-PL"/>
        </w:rPr>
      </w:pPr>
      <w:r>
        <w:rPr>
          <w:lang w:val="pl-PL"/>
        </w:rPr>
        <w:t xml:space="preserve">Na zajęcia </w:t>
      </w:r>
      <w:r w:rsidR="00ED4749">
        <w:rPr>
          <w:lang w:val="pl-PL"/>
        </w:rPr>
        <w:t xml:space="preserve">można </w:t>
      </w:r>
      <w:r>
        <w:rPr>
          <w:lang w:val="pl-PL"/>
        </w:rPr>
        <w:t>przynosi</w:t>
      </w:r>
      <w:r w:rsidR="00E5191B">
        <w:rPr>
          <w:lang w:val="pl-PL"/>
        </w:rPr>
        <w:t>ć</w:t>
      </w:r>
      <w:r>
        <w:rPr>
          <w:lang w:val="pl-PL"/>
        </w:rPr>
        <w:t xml:space="preserve"> </w:t>
      </w:r>
      <w:r w:rsidR="00A77195">
        <w:rPr>
          <w:lang w:val="pl-PL"/>
        </w:rPr>
        <w:t xml:space="preserve">zapalniczki do </w:t>
      </w:r>
      <w:r>
        <w:rPr>
          <w:lang w:val="pl-PL"/>
        </w:rPr>
        <w:t xml:space="preserve">zatapiania kapilar </w:t>
      </w:r>
      <w:r w:rsidR="00564305">
        <w:rPr>
          <w:lang w:val="pl-PL"/>
        </w:rPr>
        <w:t xml:space="preserve">służących </w:t>
      </w:r>
      <w:r>
        <w:rPr>
          <w:lang w:val="pl-PL"/>
        </w:rPr>
        <w:t>do mierzenia temperatury topnienia związków</w:t>
      </w:r>
      <w:r w:rsidR="00A77195">
        <w:rPr>
          <w:lang w:val="pl-PL"/>
        </w:rPr>
        <w:t>.</w:t>
      </w:r>
    </w:p>
    <w:p w:rsidR="00A77195" w:rsidRDefault="00564305" w:rsidP="00564305">
      <w:pPr>
        <w:numPr>
          <w:ilvl w:val="0"/>
          <w:numId w:val="1"/>
        </w:numPr>
        <w:spacing w:line="360" w:lineRule="auto"/>
        <w:jc w:val="both"/>
        <w:rPr>
          <w:lang w:val="pl-PL"/>
        </w:rPr>
      </w:pPr>
      <w:r>
        <w:rPr>
          <w:lang w:val="pl-PL"/>
        </w:rPr>
        <w:t>O</w:t>
      </w:r>
      <w:r w:rsidR="00A77195">
        <w:rPr>
          <w:lang w:val="pl-PL"/>
        </w:rPr>
        <w:t>dczynniki do zadania należy pobrać</w:t>
      </w:r>
      <w:r w:rsidR="001B1548" w:rsidRPr="001B1548">
        <w:rPr>
          <w:lang w:val="pl-PL"/>
        </w:rPr>
        <w:t xml:space="preserve"> </w:t>
      </w:r>
      <w:r w:rsidR="001B1548">
        <w:rPr>
          <w:lang w:val="pl-PL"/>
        </w:rPr>
        <w:t xml:space="preserve">od pracownika technicznego, do czystych pojemników </w:t>
      </w:r>
      <w:r w:rsidR="001B1548">
        <w:rPr>
          <w:lang w:val="pl-PL"/>
        </w:rPr>
        <w:br/>
        <w:t>z prawidłowo opisanymi etykietami</w:t>
      </w:r>
      <w:r>
        <w:rPr>
          <w:lang w:val="pl-PL"/>
        </w:rPr>
        <w:t>,</w:t>
      </w:r>
      <w:r w:rsidR="00A77195">
        <w:rPr>
          <w:lang w:val="pl-PL"/>
        </w:rPr>
        <w:t xml:space="preserve"> </w:t>
      </w:r>
      <w:r>
        <w:rPr>
          <w:lang w:val="pl-PL"/>
        </w:rPr>
        <w:t xml:space="preserve">na podstawie </w:t>
      </w:r>
      <w:r w:rsidR="001B1548">
        <w:rPr>
          <w:lang w:val="pl-PL"/>
        </w:rPr>
        <w:t xml:space="preserve">rewersu </w:t>
      </w:r>
      <w:r>
        <w:rPr>
          <w:lang w:val="pl-PL"/>
        </w:rPr>
        <w:t>wyda</w:t>
      </w:r>
      <w:r w:rsidR="001B1548">
        <w:rPr>
          <w:lang w:val="pl-PL"/>
        </w:rPr>
        <w:t>nego przez asystenta prowadzącego</w:t>
      </w:r>
      <w:r w:rsidR="00A77195">
        <w:rPr>
          <w:lang w:val="pl-PL"/>
        </w:rPr>
        <w:t>.</w:t>
      </w:r>
    </w:p>
    <w:p w:rsidR="00A77195" w:rsidRDefault="00A77195" w:rsidP="00564305">
      <w:pPr>
        <w:numPr>
          <w:ilvl w:val="0"/>
          <w:numId w:val="1"/>
        </w:numPr>
        <w:spacing w:line="360" w:lineRule="auto"/>
        <w:jc w:val="both"/>
        <w:rPr>
          <w:lang w:val="pl-PL"/>
        </w:rPr>
      </w:pPr>
      <w:r>
        <w:rPr>
          <w:lang w:val="pl-PL"/>
        </w:rPr>
        <w:t xml:space="preserve">Po pobraniu odczynników </w:t>
      </w:r>
      <w:r w:rsidR="001B1548">
        <w:rPr>
          <w:lang w:val="pl-PL"/>
        </w:rPr>
        <w:t xml:space="preserve">do zadań </w:t>
      </w:r>
      <w:r w:rsidR="00ED4749">
        <w:rPr>
          <w:lang w:val="pl-PL"/>
        </w:rPr>
        <w:t xml:space="preserve">należy </w:t>
      </w:r>
      <w:r w:rsidR="001F1CF2">
        <w:rPr>
          <w:lang w:val="pl-PL"/>
        </w:rPr>
        <w:t>bezwzględnie</w:t>
      </w:r>
      <w:r w:rsidR="001B1548">
        <w:rPr>
          <w:lang w:val="pl-PL"/>
        </w:rPr>
        <w:t xml:space="preserve"> pamiętać o sprawdze</w:t>
      </w:r>
      <w:r w:rsidR="00685F97">
        <w:rPr>
          <w:lang w:val="pl-PL"/>
        </w:rPr>
        <w:t>niu</w:t>
      </w:r>
      <w:r w:rsidR="000738B2">
        <w:rPr>
          <w:lang w:val="pl-PL"/>
        </w:rPr>
        <w:t xml:space="preserve"> </w:t>
      </w:r>
      <w:r w:rsidR="00835DAD">
        <w:rPr>
          <w:lang w:val="pl-PL"/>
        </w:rPr>
        <w:t xml:space="preserve">ich </w:t>
      </w:r>
      <w:r w:rsidR="000738B2">
        <w:rPr>
          <w:lang w:val="pl-PL"/>
        </w:rPr>
        <w:t>masy</w:t>
      </w:r>
      <w:r w:rsidR="00835DAD">
        <w:rPr>
          <w:lang w:val="pl-PL"/>
        </w:rPr>
        <w:t xml:space="preserve"> (</w:t>
      </w:r>
      <w:r w:rsidR="00AB3965">
        <w:rPr>
          <w:lang w:val="pl-PL"/>
        </w:rPr>
        <w:t>w przypadku ciał stałych</w:t>
      </w:r>
      <w:r w:rsidR="00835DAD">
        <w:rPr>
          <w:lang w:val="pl-PL"/>
        </w:rPr>
        <w:t>)</w:t>
      </w:r>
      <w:r w:rsidR="000738B2">
        <w:rPr>
          <w:lang w:val="pl-PL"/>
        </w:rPr>
        <w:t xml:space="preserve"> i </w:t>
      </w:r>
      <w:r>
        <w:rPr>
          <w:lang w:val="pl-PL"/>
        </w:rPr>
        <w:t>objętości</w:t>
      </w:r>
      <w:r w:rsidR="00AB3965">
        <w:rPr>
          <w:lang w:val="pl-PL"/>
        </w:rPr>
        <w:t xml:space="preserve"> </w:t>
      </w:r>
      <w:r w:rsidR="00835DAD">
        <w:rPr>
          <w:lang w:val="pl-PL"/>
        </w:rPr>
        <w:t>(</w:t>
      </w:r>
      <w:r w:rsidR="00AB3965">
        <w:rPr>
          <w:lang w:val="pl-PL"/>
        </w:rPr>
        <w:t>w przypadku cieczy</w:t>
      </w:r>
      <w:r w:rsidR="00835DAD">
        <w:rPr>
          <w:lang w:val="pl-PL"/>
        </w:rPr>
        <w:t xml:space="preserve">). Należy tego dokonać </w:t>
      </w:r>
      <w:r w:rsidR="001F1CF2">
        <w:rPr>
          <w:lang w:val="pl-PL"/>
        </w:rPr>
        <w:t>bezzwłocznie</w:t>
      </w:r>
      <w:r w:rsidR="000738B2">
        <w:rPr>
          <w:lang w:val="pl-PL"/>
        </w:rPr>
        <w:t xml:space="preserve"> </w:t>
      </w:r>
      <w:r>
        <w:rPr>
          <w:lang w:val="pl-PL"/>
        </w:rPr>
        <w:t xml:space="preserve">po odebraniu </w:t>
      </w:r>
      <w:r w:rsidR="00835DAD">
        <w:rPr>
          <w:lang w:val="pl-PL"/>
        </w:rPr>
        <w:t xml:space="preserve">odczynników </w:t>
      </w:r>
      <w:r>
        <w:rPr>
          <w:lang w:val="pl-PL"/>
        </w:rPr>
        <w:t>od pracownika technicznego</w:t>
      </w:r>
      <w:r w:rsidR="00835DAD">
        <w:rPr>
          <w:lang w:val="pl-PL"/>
        </w:rPr>
        <w:t>,</w:t>
      </w:r>
      <w:r>
        <w:rPr>
          <w:lang w:val="pl-PL"/>
        </w:rPr>
        <w:t xml:space="preserve"> w celu potwierdzenia zgodności ilości zadek</w:t>
      </w:r>
      <w:r w:rsidR="001B1548">
        <w:rPr>
          <w:lang w:val="pl-PL"/>
        </w:rPr>
        <w:t>larowanych ze stanem faktycznym. S</w:t>
      </w:r>
      <w:r>
        <w:rPr>
          <w:lang w:val="pl-PL"/>
        </w:rPr>
        <w:t xml:space="preserve">prawdzenie </w:t>
      </w:r>
      <w:r w:rsidR="001B1548">
        <w:rPr>
          <w:lang w:val="pl-PL"/>
        </w:rPr>
        <w:t xml:space="preserve">należy odnotować </w:t>
      </w:r>
      <w:r>
        <w:rPr>
          <w:lang w:val="pl-PL"/>
        </w:rPr>
        <w:t>w zeszycie laboratoryjnym. Brak tego elementu</w:t>
      </w:r>
      <w:r w:rsidR="00797FCB">
        <w:rPr>
          <w:lang w:val="pl-PL"/>
        </w:rPr>
        <w:t xml:space="preserve"> </w:t>
      </w:r>
      <w:r w:rsidR="00835DAD">
        <w:rPr>
          <w:lang w:val="pl-PL"/>
        </w:rPr>
        <w:br/>
      </w:r>
      <w:r w:rsidR="00797FCB">
        <w:rPr>
          <w:lang w:val="pl-PL"/>
        </w:rPr>
        <w:t>w zeszycie laboratoryjnym</w:t>
      </w:r>
      <w:r>
        <w:rPr>
          <w:lang w:val="pl-PL"/>
        </w:rPr>
        <w:t xml:space="preserve"> jes</w:t>
      </w:r>
      <w:r w:rsidR="001F1CF2">
        <w:rPr>
          <w:lang w:val="pl-PL"/>
        </w:rPr>
        <w:t xml:space="preserve">t m.in. podstawą do </w:t>
      </w:r>
      <w:r w:rsidR="00335E0D">
        <w:rPr>
          <w:lang w:val="pl-PL"/>
        </w:rPr>
        <w:t>niezaliczenia</w:t>
      </w:r>
      <w:r>
        <w:rPr>
          <w:lang w:val="pl-PL"/>
        </w:rPr>
        <w:t xml:space="preserve"> zadania</w:t>
      </w:r>
      <w:r w:rsidR="00835DAD">
        <w:rPr>
          <w:lang w:val="pl-PL"/>
        </w:rPr>
        <w:t>, szczególnie</w:t>
      </w:r>
      <w:r w:rsidR="00ED4749">
        <w:rPr>
          <w:lang w:val="pl-PL"/>
        </w:rPr>
        <w:t xml:space="preserve"> w przypadku problemów z jego wykonaniem</w:t>
      </w:r>
      <w:r>
        <w:rPr>
          <w:lang w:val="pl-PL"/>
        </w:rPr>
        <w:t>.</w:t>
      </w:r>
    </w:p>
    <w:p w:rsidR="00A77195" w:rsidRDefault="00A77195" w:rsidP="00564305">
      <w:pPr>
        <w:numPr>
          <w:ilvl w:val="0"/>
          <w:numId w:val="1"/>
        </w:numPr>
        <w:spacing w:line="360" w:lineRule="auto"/>
        <w:jc w:val="both"/>
        <w:rPr>
          <w:lang w:val="pl-PL"/>
        </w:rPr>
      </w:pPr>
      <w:r>
        <w:rPr>
          <w:lang w:val="pl-PL"/>
        </w:rPr>
        <w:t xml:space="preserve">Student </w:t>
      </w:r>
      <w:r w:rsidR="00E5191B">
        <w:rPr>
          <w:lang w:val="pl-PL"/>
        </w:rPr>
        <w:t xml:space="preserve">jest zobowiązany </w:t>
      </w:r>
      <w:r>
        <w:rPr>
          <w:lang w:val="pl-PL"/>
        </w:rPr>
        <w:t>przygotować</w:t>
      </w:r>
      <w:r w:rsidR="00E5191B">
        <w:rPr>
          <w:lang w:val="pl-PL"/>
        </w:rPr>
        <w:t xml:space="preserve"> się,</w:t>
      </w:r>
      <w:r>
        <w:rPr>
          <w:lang w:val="pl-PL"/>
        </w:rPr>
        <w:t xml:space="preserve"> zarówno teoretycznie</w:t>
      </w:r>
      <w:r w:rsidR="00835DAD">
        <w:rPr>
          <w:lang w:val="pl-PL"/>
        </w:rPr>
        <w:t xml:space="preserve"> jak i praktycznie</w:t>
      </w:r>
      <w:r w:rsidR="00835DAD" w:rsidRPr="00835DAD">
        <w:rPr>
          <w:lang w:val="pl-PL"/>
        </w:rPr>
        <w:t xml:space="preserve"> </w:t>
      </w:r>
      <w:r w:rsidR="00835DAD">
        <w:rPr>
          <w:lang w:val="pl-PL"/>
        </w:rPr>
        <w:t>do wykonywanego zadania.</w:t>
      </w:r>
    </w:p>
    <w:p w:rsidR="00A77195" w:rsidRPr="005E7634" w:rsidRDefault="00A77195" w:rsidP="00564305">
      <w:pPr>
        <w:numPr>
          <w:ilvl w:val="0"/>
          <w:numId w:val="1"/>
        </w:numPr>
        <w:spacing w:line="360" w:lineRule="auto"/>
        <w:jc w:val="both"/>
        <w:rPr>
          <w:lang w:val="pl-PL"/>
        </w:rPr>
      </w:pPr>
      <w:r>
        <w:rPr>
          <w:lang w:val="pl-PL"/>
        </w:rPr>
        <w:t xml:space="preserve">Jeśli do wykonania </w:t>
      </w:r>
      <w:r w:rsidR="00A543F5">
        <w:rPr>
          <w:lang w:val="pl-PL"/>
        </w:rPr>
        <w:t>zadania potrzeb</w:t>
      </w:r>
      <w:r w:rsidR="00E5191B">
        <w:rPr>
          <w:lang w:val="pl-PL"/>
        </w:rPr>
        <w:t>n</w:t>
      </w:r>
      <w:r w:rsidR="00A543F5">
        <w:rPr>
          <w:lang w:val="pl-PL"/>
        </w:rPr>
        <w:t>a jest aparatura</w:t>
      </w:r>
      <w:r w:rsidR="00E5191B">
        <w:rPr>
          <w:lang w:val="pl-PL"/>
        </w:rPr>
        <w:t>,</w:t>
      </w:r>
      <w:r w:rsidR="001D517A">
        <w:rPr>
          <w:lang w:val="pl-PL"/>
        </w:rPr>
        <w:t xml:space="preserve"> ze względów bezpieczeń</w:t>
      </w:r>
      <w:r>
        <w:rPr>
          <w:lang w:val="pl-PL"/>
        </w:rPr>
        <w:t xml:space="preserve">stwa, po zmontowaniu jej </w:t>
      </w:r>
      <w:r w:rsidR="00335E0D">
        <w:rPr>
          <w:lang w:val="pl-PL"/>
        </w:rPr>
        <w:t>bezwzględnie</w:t>
      </w:r>
      <w:r>
        <w:rPr>
          <w:lang w:val="pl-PL"/>
        </w:rPr>
        <w:t xml:space="preserve"> należy uzyskać pisemne </w:t>
      </w:r>
      <w:r w:rsidR="00835DAD">
        <w:rPr>
          <w:lang w:val="pl-PL"/>
        </w:rPr>
        <w:t xml:space="preserve">potwierdzenie prawidłowości jej montażu </w:t>
      </w:r>
      <w:r>
        <w:rPr>
          <w:lang w:val="pl-PL"/>
        </w:rPr>
        <w:t xml:space="preserve">(w postaci podpisu </w:t>
      </w:r>
      <w:r w:rsidR="00835DAD">
        <w:rPr>
          <w:lang w:val="pl-PL"/>
        </w:rPr>
        <w:t xml:space="preserve">asystenta </w:t>
      </w:r>
      <w:r>
        <w:rPr>
          <w:lang w:val="pl-PL"/>
        </w:rPr>
        <w:t>prowadzącego</w:t>
      </w:r>
      <w:r w:rsidR="00835DAD">
        <w:rPr>
          <w:lang w:val="pl-PL"/>
        </w:rPr>
        <w:t xml:space="preserve"> daną grupę lub innego</w:t>
      </w:r>
      <w:r>
        <w:rPr>
          <w:lang w:val="pl-PL"/>
        </w:rPr>
        <w:t xml:space="preserve"> </w:t>
      </w:r>
      <w:r w:rsidR="00835DAD">
        <w:rPr>
          <w:lang w:val="pl-PL"/>
        </w:rPr>
        <w:t>prowadzącego</w:t>
      </w:r>
      <w:r w:rsidR="00E5191B">
        <w:rPr>
          <w:lang w:val="pl-PL"/>
        </w:rPr>
        <w:t xml:space="preserve"> </w:t>
      </w:r>
      <w:r w:rsidR="00335E0D">
        <w:rPr>
          <w:lang w:val="pl-PL"/>
        </w:rPr>
        <w:t>znajdującego</w:t>
      </w:r>
      <w:r w:rsidR="00E5191B">
        <w:rPr>
          <w:lang w:val="pl-PL"/>
        </w:rPr>
        <w:t xml:space="preserve"> się na s</w:t>
      </w:r>
      <w:r>
        <w:rPr>
          <w:lang w:val="pl-PL"/>
        </w:rPr>
        <w:t>ali ćwiczeń)</w:t>
      </w:r>
      <w:r w:rsidR="00835DAD">
        <w:rPr>
          <w:lang w:val="pl-PL"/>
        </w:rPr>
        <w:t>,</w:t>
      </w:r>
      <w:r>
        <w:rPr>
          <w:lang w:val="pl-PL"/>
        </w:rPr>
        <w:t xml:space="preserve"> po </w:t>
      </w:r>
      <w:r>
        <w:rPr>
          <w:lang w:val="pl-PL"/>
        </w:rPr>
        <w:lastRenderedPageBreak/>
        <w:t xml:space="preserve">uprzednim narysowaniu schematu aparatury w zeszycie laboratoryjnym. Student </w:t>
      </w:r>
      <w:r w:rsidR="006A078D">
        <w:rPr>
          <w:lang w:val="pl-PL"/>
        </w:rPr>
        <w:t>jest</w:t>
      </w:r>
      <w:r>
        <w:rPr>
          <w:lang w:val="pl-PL"/>
        </w:rPr>
        <w:t xml:space="preserve"> zobowiązany do udzielania odpowiedzi na pytania dotyczące montowanej aparatury i wykonywanego zadania. Brak </w:t>
      </w:r>
      <w:r w:rsidR="00ED4749">
        <w:rPr>
          <w:lang w:val="pl-PL"/>
        </w:rPr>
        <w:t xml:space="preserve">wiedzy merytorycznej i praktycznej </w:t>
      </w:r>
      <w:r>
        <w:rPr>
          <w:lang w:val="pl-PL"/>
        </w:rPr>
        <w:t>dotyczącej wykonywanej czynności jest podstawą do odmowy zaliczenia prawidłowości montażu</w:t>
      </w:r>
      <w:r w:rsidR="00835DAD">
        <w:rPr>
          <w:lang w:val="pl-PL"/>
        </w:rPr>
        <w:t>,</w:t>
      </w:r>
      <w:r>
        <w:rPr>
          <w:lang w:val="pl-PL"/>
        </w:rPr>
        <w:t xml:space="preserve"> do momentu prawidłowego przygotowania się do zadania.</w:t>
      </w:r>
    </w:p>
    <w:p w:rsidR="00A77195" w:rsidRPr="00835DAD" w:rsidRDefault="00A77195" w:rsidP="00564305">
      <w:pPr>
        <w:numPr>
          <w:ilvl w:val="0"/>
          <w:numId w:val="1"/>
        </w:numPr>
        <w:spacing w:line="360" w:lineRule="auto"/>
        <w:jc w:val="both"/>
        <w:rPr>
          <w:b/>
          <w:lang w:val="pl-PL"/>
        </w:rPr>
      </w:pPr>
      <w:r w:rsidRPr="00835DAD">
        <w:rPr>
          <w:b/>
          <w:lang w:val="pl-PL"/>
        </w:rPr>
        <w:t>Warunkiem zaliczenia zadania są następujące elementy</w:t>
      </w:r>
      <w:r w:rsidR="00835DAD">
        <w:rPr>
          <w:b/>
          <w:lang w:val="pl-PL"/>
        </w:rPr>
        <w:t>:</w:t>
      </w:r>
    </w:p>
    <w:p w:rsidR="00A77195" w:rsidRPr="000C079A" w:rsidRDefault="00835DAD" w:rsidP="00564305">
      <w:pPr>
        <w:numPr>
          <w:ilvl w:val="0"/>
          <w:numId w:val="2"/>
        </w:numPr>
        <w:spacing w:line="360" w:lineRule="auto"/>
        <w:jc w:val="both"/>
        <w:rPr>
          <w:lang w:val="pl-PL"/>
        </w:rPr>
      </w:pPr>
      <w:r>
        <w:rPr>
          <w:lang w:val="pl-PL"/>
        </w:rPr>
        <w:t>o</w:t>
      </w:r>
      <w:r w:rsidR="00A77195">
        <w:rPr>
          <w:lang w:val="pl-PL"/>
        </w:rPr>
        <w:t xml:space="preserve">ddany preparat (w przypadku syntezy wieloetapowej </w:t>
      </w:r>
      <w:r>
        <w:rPr>
          <w:lang w:val="pl-PL"/>
        </w:rPr>
        <w:t>również</w:t>
      </w:r>
      <w:r w:rsidR="00A77195">
        <w:rPr>
          <w:lang w:val="pl-PL"/>
        </w:rPr>
        <w:t xml:space="preserve"> półprodukty i produkty pośrednie</w:t>
      </w:r>
      <w:r w:rsidR="00CB7560">
        <w:rPr>
          <w:lang w:val="pl-PL"/>
        </w:rPr>
        <w:t>, jeżeli nie zostały użyte</w:t>
      </w:r>
      <w:r w:rsidR="00774FD7">
        <w:rPr>
          <w:lang w:val="pl-PL"/>
        </w:rPr>
        <w:t xml:space="preserve"> w kolejnym etapie</w:t>
      </w:r>
      <w:r w:rsidR="00CB7560">
        <w:rPr>
          <w:lang w:val="pl-PL"/>
        </w:rPr>
        <w:t xml:space="preserve"> w całości</w:t>
      </w:r>
      <w:r w:rsidR="00A77195">
        <w:rPr>
          <w:lang w:val="pl-PL"/>
        </w:rPr>
        <w:t xml:space="preserve">) w czystym pojemniku z prawidłowo </w:t>
      </w:r>
      <w:r w:rsidR="00A77195" w:rsidRPr="000C079A">
        <w:rPr>
          <w:lang w:val="pl-PL"/>
        </w:rPr>
        <w:t>opisaną etykietą (etykieta zrobiona z białej kartki o wielkości stosownej do pojemnika). Na etykiecie musi być podany temat zadania, nazwa chemiczna zwią</w:t>
      </w:r>
      <w:r w:rsidR="00E5191B" w:rsidRPr="000C079A">
        <w:rPr>
          <w:lang w:val="pl-PL"/>
        </w:rPr>
        <w:t>zku znajdu</w:t>
      </w:r>
      <w:r w:rsidR="001D517A">
        <w:rPr>
          <w:lang w:val="pl-PL"/>
        </w:rPr>
        <w:t>j</w:t>
      </w:r>
      <w:r w:rsidR="00E5191B" w:rsidRPr="000C079A">
        <w:rPr>
          <w:lang w:val="pl-PL"/>
        </w:rPr>
        <w:t xml:space="preserve">ącego </w:t>
      </w:r>
      <w:r w:rsidR="006A078D">
        <w:rPr>
          <w:lang w:val="pl-PL"/>
        </w:rPr>
        <w:t>się</w:t>
      </w:r>
      <w:r w:rsidR="00E5191B" w:rsidRPr="000C079A">
        <w:rPr>
          <w:lang w:val="pl-PL"/>
        </w:rPr>
        <w:t xml:space="preserve"> w pojemniku</w:t>
      </w:r>
      <w:r w:rsidR="00A77195" w:rsidRPr="000C079A">
        <w:rPr>
          <w:lang w:val="pl-PL"/>
        </w:rPr>
        <w:t xml:space="preserve">, </w:t>
      </w:r>
      <w:r w:rsidR="001D517A">
        <w:rPr>
          <w:lang w:val="pl-PL"/>
        </w:rPr>
        <w:t xml:space="preserve">jego struktura, </w:t>
      </w:r>
      <w:r w:rsidR="00A77195" w:rsidRPr="000C079A">
        <w:rPr>
          <w:lang w:val="pl-PL"/>
        </w:rPr>
        <w:t>masa, temperatura topnienia/wrzenia</w:t>
      </w:r>
      <w:r w:rsidR="000E63D9">
        <w:rPr>
          <w:lang w:val="pl-PL"/>
        </w:rPr>
        <w:t xml:space="preserve">, wydajność procesu będącego tematem zadania </w:t>
      </w:r>
      <w:r w:rsidR="00254328">
        <w:rPr>
          <w:lang w:val="pl-PL"/>
        </w:rPr>
        <w:t>(oczyszczania</w:t>
      </w:r>
      <w:r w:rsidR="00BE35EB">
        <w:rPr>
          <w:lang w:val="pl-PL"/>
        </w:rPr>
        <w:t xml:space="preserve"> </w:t>
      </w:r>
      <w:r w:rsidR="00774FD7">
        <w:rPr>
          <w:lang w:val="pl-PL"/>
        </w:rPr>
        <w:br/>
      </w:r>
      <w:r w:rsidR="00BE35EB">
        <w:rPr>
          <w:lang w:val="pl-PL"/>
        </w:rPr>
        <w:t>w przypadku zadania dotyczącego oczyszczania</w:t>
      </w:r>
      <w:r w:rsidR="000E63D9">
        <w:rPr>
          <w:lang w:val="pl-PL"/>
        </w:rPr>
        <w:t xml:space="preserve"> lub</w:t>
      </w:r>
      <w:r w:rsidR="00254328">
        <w:rPr>
          <w:lang w:val="pl-PL"/>
        </w:rPr>
        <w:t xml:space="preserve"> syntezy</w:t>
      </w:r>
      <w:r w:rsidR="00BE35EB">
        <w:rPr>
          <w:lang w:val="pl-PL"/>
        </w:rPr>
        <w:t xml:space="preserve"> w przypadku zadania preparatywnego</w:t>
      </w:r>
      <w:r w:rsidR="00254328">
        <w:rPr>
          <w:lang w:val="pl-PL"/>
        </w:rPr>
        <w:t>)</w:t>
      </w:r>
      <w:r w:rsidR="00774FD7">
        <w:rPr>
          <w:lang w:val="pl-PL"/>
        </w:rPr>
        <w:t>, grupa CL oraz</w:t>
      </w:r>
      <w:r w:rsidR="00A77195" w:rsidRPr="000C079A">
        <w:rPr>
          <w:lang w:val="pl-PL"/>
        </w:rPr>
        <w:t xml:space="preserve"> imię i nazwisko osoby oddającej preparat do zaliczenia.</w:t>
      </w:r>
    </w:p>
    <w:p w:rsidR="00A77195" w:rsidRPr="0076025B" w:rsidRDefault="00835DAD" w:rsidP="00564305">
      <w:pPr>
        <w:numPr>
          <w:ilvl w:val="0"/>
          <w:numId w:val="2"/>
        </w:numPr>
        <w:spacing w:line="360" w:lineRule="auto"/>
        <w:jc w:val="both"/>
        <w:rPr>
          <w:lang w:val="pl-PL"/>
        </w:rPr>
      </w:pPr>
      <w:r>
        <w:rPr>
          <w:lang w:val="pl-PL"/>
        </w:rPr>
        <w:t>d</w:t>
      </w:r>
      <w:r w:rsidR="00A77195">
        <w:rPr>
          <w:lang w:val="pl-PL"/>
        </w:rPr>
        <w:t>o preparatu należy dołączyć sprawozdanie</w:t>
      </w:r>
      <w:r w:rsidR="00E5191B">
        <w:rPr>
          <w:lang w:val="pl-PL"/>
        </w:rPr>
        <w:t>.</w:t>
      </w:r>
    </w:p>
    <w:p w:rsidR="00A77195" w:rsidRDefault="00A77195" w:rsidP="00564305">
      <w:pPr>
        <w:numPr>
          <w:ilvl w:val="0"/>
          <w:numId w:val="1"/>
        </w:numPr>
        <w:spacing w:line="360" w:lineRule="auto"/>
        <w:jc w:val="both"/>
        <w:rPr>
          <w:lang w:val="pl-PL"/>
        </w:rPr>
      </w:pPr>
      <w:r w:rsidRPr="00013A04">
        <w:rPr>
          <w:b/>
          <w:lang w:val="pl-PL"/>
        </w:rPr>
        <w:t>Sprawozdani</w:t>
      </w:r>
      <w:r w:rsidR="00013A04">
        <w:rPr>
          <w:b/>
          <w:lang w:val="pl-PL"/>
        </w:rPr>
        <w:t>e</w:t>
      </w:r>
      <w:r w:rsidR="00013A04">
        <w:rPr>
          <w:lang w:val="pl-PL"/>
        </w:rPr>
        <w:t xml:space="preserve"> musi</w:t>
      </w:r>
      <w:r>
        <w:rPr>
          <w:lang w:val="pl-PL"/>
        </w:rPr>
        <w:t xml:space="preserve"> b</w:t>
      </w:r>
      <w:r w:rsidR="00356487">
        <w:rPr>
          <w:lang w:val="pl-PL"/>
        </w:rPr>
        <w:t>yć rzeczowe i zawierać następują</w:t>
      </w:r>
      <w:r>
        <w:rPr>
          <w:lang w:val="pl-PL"/>
        </w:rPr>
        <w:t>ce elementy warunkujące zaliczenie zadania.</w:t>
      </w:r>
    </w:p>
    <w:p w:rsidR="00A77195" w:rsidRDefault="00A77195" w:rsidP="00564305">
      <w:pPr>
        <w:spacing w:line="360" w:lineRule="auto"/>
        <w:ind w:left="720"/>
        <w:jc w:val="both"/>
        <w:rPr>
          <w:lang w:val="pl-PL"/>
        </w:rPr>
      </w:pPr>
      <w:r>
        <w:rPr>
          <w:lang w:val="pl-PL"/>
        </w:rPr>
        <w:t>a)</w:t>
      </w:r>
      <w:r w:rsidR="006A078D">
        <w:rPr>
          <w:lang w:val="pl-PL"/>
        </w:rPr>
        <w:t xml:space="preserve"> </w:t>
      </w:r>
      <w:r w:rsidR="00013A04">
        <w:rPr>
          <w:lang w:val="pl-PL"/>
        </w:rPr>
        <w:t>w</w:t>
      </w:r>
      <w:r>
        <w:rPr>
          <w:lang w:val="pl-PL"/>
        </w:rPr>
        <w:t>szelkie sprawdzenia kontrolne pobranych odczynnik</w:t>
      </w:r>
      <w:r w:rsidR="00E5191B">
        <w:rPr>
          <w:lang w:val="pl-PL"/>
        </w:rPr>
        <w:t>ów</w:t>
      </w:r>
      <w:r>
        <w:rPr>
          <w:lang w:val="pl-PL"/>
        </w:rPr>
        <w:t xml:space="preserve">, ich krótka charakterystyka. Rysunki </w:t>
      </w:r>
      <w:r w:rsidR="00013A04">
        <w:rPr>
          <w:lang w:val="pl-PL"/>
        </w:rPr>
        <w:br/>
      </w:r>
      <w:r>
        <w:rPr>
          <w:lang w:val="pl-PL"/>
        </w:rPr>
        <w:t xml:space="preserve">i </w:t>
      </w:r>
      <w:r w:rsidR="00013A04">
        <w:rPr>
          <w:lang w:val="pl-PL"/>
        </w:rPr>
        <w:t>schematy aparatury zatwierdzone</w:t>
      </w:r>
      <w:r>
        <w:rPr>
          <w:lang w:val="pl-PL"/>
        </w:rPr>
        <w:t xml:space="preserve"> przez prowadzącego. Ostateczne oznaczenie czystości związku do zaliczenia takie</w:t>
      </w:r>
      <w:r w:rsidR="00E5191B">
        <w:rPr>
          <w:lang w:val="pl-PL"/>
        </w:rPr>
        <w:t>,</w:t>
      </w:r>
      <w:r w:rsidR="00AC5FC6">
        <w:rPr>
          <w:lang w:val="pl-PL"/>
        </w:rPr>
        <w:t xml:space="preserve"> jak temper</w:t>
      </w:r>
      <w:r>
        <w:rPr>
          <w:lang w:val="pl-PL"/>
        </w:rPr>
        <w:t xml:space="preserve">atura topnienia musi być wykonane w obecności </w:t>
      </w:r>
      <w:r w:rsidR="00013A04">
        <w:rPr>
          <w:lang w:val="pl-PL"/>
        </w:rPr>
        <w:t xml:space="preserve">asystenta </w:t>
      </w:r>
      <w:r>
        <w:rPr>
          <w:lang w:val="pl-PL"/>
        </w:rPr>
        <w:t>pro</w:t>
      </w:r>
      <w:r w:rsidR="00013A04">
        <w:rPr>
          <w:lang w:val="pl-PL"/>
        </w:rPr>
        <w:t>wadzącego lub innego</w:t>
      </w:r>
      <w:r>
        <w:rPr>
          <w:lang w:val="pl-PL"/>
        </w:rPr>
        <w:t xml:space="preserve"> znajdującego się na sali ćwiczeniowej </w:t>
      </w:r>
      <w:r w:rsidR="00013A04">
        <w:rPr>
          <w:lang w:val="pl-PL"/>
        </w:rPr>
        <w:t xml:space="preserve">i </w:t>
      </w:r>
      <w:r>
        <w:rPr>
          <w:lang w:val="pl-PL"/>
        </w:rPr>
        <w:t>potwierdzone ich podpisem w zeszycie laboratoryjnym.</w:t>
      </w:r>
      <w:r w:rsidR="00E5191B">
        <w:rPr>
          <w:lang w:val="pl-PL"/>
        </w:rPr>
        <w:t xml:space="preserve"> Pr</w:t>
      </w:r>
      <w:r w:rsidR="005D3D42">
        <w:rPr>
          <w:lang w:val="pl-PL"/>
        </w:rPr>
        <w:t>óbne lub wstępne oznaczenia tem</w:t>
      </w:r>
      <w:r w:rsidR="00E5191B">
        <w:rPr>
          <w:lang w:val="pl-PL"/>
        </w:rPr>
        <w:t>p</w:t>
      </w:r>
      <w:r w:rsidR="005D3D42">
        <w:rPr>
          <w:lang w:val="pl-PL"/>
        </w:rPr>
        <w:t>er</w:t>
      </w:r>
      <w:r w:rsidR="00E5191B">
        <w:rPr>
          <w:lang w:val="pl-PL"/>
        </w:rPr>
        <w:t>atur topnienie można wykonywać samodzielnie bez potwierdzania ich przez prowadzącego.</w:t>
      </w:r>
    </w:p>
    <w:p w:rsidR="00140B7C" w:rsidRDefault="00A77195" w:rsidP="00564305">
      <w:pPr>
        <w:spacing w:line="360" w:lineRule="auto"/>
        <w:ind w:left="720"/>
        <w:jc w:val="both"/>
        <w:rPr>
          <w:lang w:val="pl-PL"/>
        </w:rPr>
      </w:pPr>
      <w:r>
        <w:rPr>
          <w:lang w:val="pl-PL"/>
        </w:rPr>
        <w:t xml:space="preserve">b) informacje i notatki sporządzane w trakcie wykonywania zadania mają znajdować się w </w:t>
      </w:r>
      <w:r w:rsidR="009C2648">
        <w:rPr>
          <w:lang w:val="pl-PL"/>
        </w:rPr>
        <w:t>zeszycie, a nie na luźnych kart</w:t>
      </w:r>
      <w:r>
        <w:rPr>
          <w:lang w:val="pl-PL"/>
        </w:rPr>
        <w:t>k</w:t>
      </w:r>
      <w:r w:rsidR="009C2648">
        <w:rPr>
          <w:lang w:val="pl-PL"/>
        </w:rPr>
        <w:t>a</w:t>
      </w:r>
      <w:r w:rsidR="00FF7369">
        <w:rPr>
          <w:lang w:val="pl-PL"/>
        </w:rPr>
        <w:t>ch (</w:t>
      </w:r>
      <w:r w:rsidR="00DD620E">
        <w:rPr>
          <w:lang w:val="pl-PL"/>
        </w:rPr>
        <w:t xml:space="preserve">informacje i porady, </w:t>
      </w:r>
      <w:r w:rsidR="00FF7369">
        <w:rPr>
          <w:lang w:val="pl-PL"/>
        </w:rPr>
        <w:t xml:space="preserve">jak prowadzić notatki laboratoryjne </w:t>
      </w:r>
      <w:r w:rsidR="00DD620E">
        <w:rPr>
          <w:lang w:val="pl-PL"/>
        </w:rPr>
        <w:t>można znaleźć w „Preparatyce Organicznej” A</w:t>
      </w:r>
      <w:r w:rsidR="00A04340">
        <w:rPr>
          <w:lang w:val="pl-PL"/>
        </w:rPr>
        <w:t xml:space="preserve">rtura </w:t>
      </w:r>
      <w:r w:rsidR="00DD620E">
        <w:rPr>
          <w:lang w:val="pl-PL"/>
        </w:rPr>
        <w:t xml:space="preserve">Vogla, WTN, Warszawa 1984, str. 3). </w:t>
      </w:r>
      <w:r>
        <w:rPr>
          <w:lang w:val="pl-PL"/>
        </w:rPr>
        <w:t xml:space="preserve">Na ich podstawie należy sporządzić sprawozdanie końcowe, które powinno zawierać: Cel zadania, krótki </w:t>
      </w:r>
      <w:r w:rsidR="00ED4749">
        <w:rPr>
          <w:lang w:val="pl-PL"/>
        </w:rPr>
        <w:t>o</w:t>
      </w:r>
      <w:r>
        <w:rPr>
          <w:lang w:val="pl-PL"/>
        </w:rPr>
        <w:t>pis teoretyczny dotyc</w:t>
      </w:r>
      <w:r w:rsidR="001D517A">
        <w:rPr>
          <w:lang w:val="pl-PL"/>
        </w:rPr>
        <w:t>zący zadania</w:t>
      </w:r>
      <w:r w:rsidR="00ED4749">
        <w:rPr>
          <w:lang w:val="pl-PL"/>
        </w:rPr>
        <w:t>,</w:t>
      </w:r>
      <w:r w:rsidR="001D517A">
        <w:rPr>
          <w:lang w:val="pl-PL"/>
        </w:rPr>
        <w:t xml:space="preserve"> </w:t>
      </w:r>
      <w:r w:rsidR="00ED4749">
        <w:rPr>
          <w:lang w:val="pl-PL"/>
        </w:rPr>
        <w:t>o</w:t>
      </w:r>
      <w:r w:rsidR="00E5191B">
        <w:rPr>
          <w:lang w:val="pl-PL"/>
        </w:rPr>
        <w:t>pisany przebieg</w:t>
      </w:r>
      <w:r>
        <w:rPr>
          <w:lang w:val="pl-PL"/>
        </w:rPr>
        <w:t xml:space="preserve"> wykonywania zadania</w:t>
      </w:r>
      <w:r w:rsidR="00ED4749">
        <w:rPr>
          <w:lang w:val="pl-PL"/>
        </w:rPr>
        <w:t>,</w:t>
      </w:r>
      <w:r>
        <w:rPr>
          <w:lang w:val="pl-PL"/>
        </w:rPr>
        <w:t xml:space="preserve"> </w:t>
      </w:r>
      <w:r w:rsidR="00ED4749">
        <w:rPr>
          <w:lang w:val="pl-PL"/>
        </w:rPr>
        <w:t>s</w:t>
      </w:r>
      <w:r>
        <w:rPr>
          <w:lang w:val="pl-PL"/>
        </w:rPr>
        <w:t>chematy reakcji</w:t>
      </w:r>
      <w:r w:rsidR="00ED4749">
        <w:rPr>
          <w:lang w:val="pl-PL"/>
        </w:rPr>
        <w:t>,</w:t>
      </w:r>
      <w:r>
        <w:rPr>
          <w:lang w:val="pl-PL"/>
        </w:rPr>
        <w:t xml:space="preserve"> </w:t>
      </w:r>
      <w:r w:rsidR="00ED4749">
        <w:rPr>
          <w:lang w:val="pl-PL"/>
        </w:rPr>
        <w:t>p</w:t>
      </w:r>
      <w:r>
        <w:rPr>
          <w:lang w:val="pl-PL"/>
        </w:rPr>
        <w:t>rawidłowe nazewnictwo związków chemicznych</w:t>
      </w:r>
      <w:r w:rsidR="00ED4749">
        <w:rPr>
          <w:lang w:val="pl-PL"/>
        </w:rPr>
        <w:t>,</w:t>
      </w:r>
      <w:r>
        <w:rPr>
          <w:lang w:val="pl-PL"/>
        </w:rPr>
        <w:t xml:space="preserve"> </w:t>
      </w:r>
      <w:r w:rsidR="00ED4749">
        <w:rPr>
          <w:lang w:val="pl-PL"/>
        </w:rPr>
        <w:t>o</w:t>
      </w:r>
      <w:r>
        <w:rPr>
          <w:lang w:val="pl-PL"/>
        </w:rPr>
        <w:t xml:space="preserve">bliczenia z </w:t>
      </w:r>
      <w:r w:rsidR="001F1CF2">
        <w:rPr>
          <w:lang w:val="pl-PL"/>
        </w:rPr>
        <w:t>uwzględnieniem</w:t>
      </w:r>
      <w:r>
        <w:rPr>
          <w:lang w:val="pl-PL"/>
        </w:rPr>
        <w:t xml:space="preserve"> praktycznego zastosowania teorii błędów</w:t>
      </w:r>
      <w:r w:rsidR="00ED4749">
        <w:rPr>
          <w:lang w:val="pl-PL"/>
        </w:rPr>
        <w:t xml:space="preserve"> oraz w</w:t>
      </w:r>
      <w:r>
        <w:rPr>
          <w:lang w:val="pl-PL"/>
        </w:rPr>
        <w:t>nioski wynikające z przeprowadzonego zadania.</w:t>
      </w:r>
    </w:p>
    <w:p w:rsidR="00140B7C" w:rsidRPr="004B0488" w:rsidRDefault="00140B7C" w:rsidP="00564305">
      <w:pPr>
        <w:ind w:left="720"/>
        <w:jc w:val="both"/>
        <w:rPr>
          <w:b/>
          <w:lang w:val="pl-PL"/>
        </w:rPr>
      </w:pPr>
      <w:r w:rsidRPr="004B0488">
        <w:rPr>
          <w:b/>
          <w:lang w:val="pl-PL"/>
        </w:rPr>
        <w:t xml:space="preserve">Polecana i </w:t>
      </w:r>
      <w:r w:rsidR="00C960A7" w:rsidRPr="004B0488">
        <w:rPr>
          <w:b/>
          <w:lang w:val="pl-PL"/>
        </w:rPr>
        <w:t>przydatn</w:t>
      </w:r>
      <w:r w:rsidRPr="004B0488">
        <w:rPr>
          <w:b/>
          <w:lang w:val="pl-PL"/>
        </w:rPr>
        <w:t>a literatura</w:t>
      </w:r>
      <w:r w:rsidR="00C960A7" w:rsidRPr="004B0488">
        <w:rPr>
          <w:b/>
          <w:lang w:val="pl-PL"/>
        </w:rPr>
        <w:t>:</w:t>
      </w:r>
    </w:p>
    <w:p w:rsidR="000D3967" w:rsidRDefault="006C4983" w:rsidP="00564305">
      <w:pPr>
        <w:numPr>
          <w:ilvl w:val="0"/>
          <w:numId w:val="7"/>
        </w:numPr>
        <w:jc w:val="both"/>
        <w:rPr>
          <w:lang w:val="pl-PL"/>
        </w:rPr>
      </w:pPr>
      <w:r>
        <w:rPr>
          <w:lang w:val="pl-PL"/>
        </w:rPr>
        <w:t xml:space="preserve">Artur Vogel </w:t>
      </w:r>
      <w:r w:rsidR="00815C8F">
        <w:rPr>
          <w:lang w:val="pl-PL"/>
        </w:rPr>
        <w:t>„Preparatyka Organiczna</w:t>
      </w:r>
      <w:r w:rsidR="00140B7C">
        <w:rPr>
          <w:lang w:val="pl-PL"/>
        </w:rPr>
        <w:t>”</w:t>
      </w:r>
      <w:r>
        <w:rPr>
          <w:lang w:val="pl-PL"/>
        </w:rPr>
        <w:t xml:space="preserve">, </w:t>
      </w:r>
      <w:r w:rsidR="00140B7C">
        <w:rPr>
          <w:lang w:val="pl-PL"/>
        </w:rPr>
        <w:t>WTN, Warszawa 1984</w:t>
      </w:r>
      <w:r w:rsidR="000D3967" w:rsidRPr="000D3967">
        <w:rPr>
          <w:lang w:val="pl-PL"/>
        </w:rPr>
        <w:t xml:space="preserve"> </w:t>
      </w:r>
    </w:p>
    <w:p w:rsidR="00140B7C" w:rsidRDefault="000D3967" w:rsidP="00564305">
      <w:pPr>
        <w:numPr>
          <w:ilvl w:val="0"/>
          <w:numId w:val="7"/>
        </w:numPr>
        <w:jc w:val="both"/>
        <w:rPr>
          <w:lang w:val="pl-PL"/>
        </w:rPr>
      </w:pPr>
      <w:r>
        <w:rPr>
          <w:lang w:val="pl-PL"/>
        </w:rPr>
        <w:t>Bolesław Bochwic „Preparatyka organiczna” PWN, 1975</w:t>
      </w:r>
    </w:p>
    <w:p w:rsidR="004B79E6" w:rsidRDefault="004B79E6" w:rsidP="00564305">
      <w:pPr>
        <w:numPr>
          <w:ilvl w:val="0"/>
          <w:numId w:val="7"/>
        </w:numPr>
        <w:jc w:val="both"/>
        <w:rPr>
          <w:lang w:val="pl-PL"/>
        </w:rPr>
      </w:pPr>
      <w:r>
        <w:rPr>
          <w:lang w:val="pl-PL"/>
        </w:rPr>
        <w:t>Irena Gajewska (red.) „Poradnik fizykochemiczny, WNT, 1974</w:t>
      </w:r>
    </w:p>
    <w:p w:rsidR="00140B7C" w:rsidRDefault="006C4983" w:rsidP="00564305">
      <w:pPr>
        <w:numPr>
          <w:ilvl w:val="0"/>
          <w:numId w:val="7"/>
        </w:numPr>
        <w:jc w:val="both"/>
        <w:rPr>
          <w:lang w:val="pl-PL"/>
        </w:rPr>
      </w:pPr>
      <w:r>
        <w:rPr>
          <w:lang w:val="pl-PL"/>
        </w:rPr>
        <w:t xml:space="preserve">Stanisław Biniecki </w:t>
      </w:r>
      <w:r w:rsidR="00140B7C">
        <w:rPr>
          <w:lang w:val="pl-PL"/>
        </w:rPr>
        <w:t>„Preparatyka środków leczniczych”</w:t>
      </w:r>
      <w:r>
        <w:rPr>
          <w:lang w:val="pl-PL"/>
        </w:rPr>
        <w:t>, PZWL, 1983</w:t>
      </w:r>
    </w:p>
    <w:p w:rsidR="006C4983" w:rsidRDefault="006C4983" w:rsidP="00564305">
      <w:pPr>
        <w:numPr>
          <w:ilvl w:val="0"/>
          <w:numId w:val="7"/>
        </w:numPr>
        <w:jc w:val="both"/>
        <w:rPr>
          <w:lang w:val="pl-PL"/>
        </w:rPr>
      </w:pPr>
      <w:r>
        <w:rPr>
          <w:lang w:val="pl-PL"/>
        </w:rPr>
        <w:t>Tadeusz Tkaczyński, Danuta Takczyńska „Synteza i technologia chemiczna leków”, PZWL, 1984</w:t>
      </w:r>
    </w:p>
    <w:p w:rsidR="006C4983" w:rsidRDefault="00A32105" w:rsidP="00564305">
      <w:pPr>
        <w:numPr>
          <w:ilvl w:val="0"/>
          <w:numId w:val="7"/>
        </w:numPr>
        <w:jc w:val="both"/>
        <w:rPr>
          <w:lang w:val="pl-PL"/>
        </w:rPr>
      </w:pPr>
      <w:r>
        <w:rPr>
          <w:lang w:val="pl-PL"/>
        </w:rPr>
        <w:t>Bogusław</w:t>
      </w:r>
      <w:r w:rsidR="006C4983">
        <w:rPr>
          <w:lang w:val="pl-PL"/>
        </w:rPr>
        <w:t xml:space="preserve"> Bobrański „</w:t>
      </w:r>
      <w:r>
        <w:rPr>
          <w:lang w:val="pl-PL"/>
        </w:rPr>
        <w:t>Preparatyka organicznych środków leczniczych”</w:t>
      </w:r>
      <w:r w:rsidR="0030720E">
        <w:rPr>
          <w:lang w:val="pl-PL"/>
        </w:rPr>
        <w:t>, PZWL, 1971</w:t>
      </w:r>
    </w:p>
    <w:p w:rsidR="00267080" w:rsidRPr="00267080" w:rsidRDefault="00267080" w:rsidP="00564305">
      <w:pPr>
        <w:numPr>
          <w:ilvl w:val="0"/>
          <w:numId w:val="7"/>
        </w:numPr>
        <w:jc w:val="both"/>
      </w:pPr>
      <w:r w:rsidRPr="00267080">
        <w:t>Robe</w:t>
      </w:r>
      <w:r w:rsidR="00BD2ED4">
        <w:t xml:space="preserve">rt T. Morrison, Robert N. Boyd </w:t>
      </w:r>
      <w:r w:rsidR="002E69BE">
        <w:t xml:space="preserve"> </w:t>
      </w:r>
      <w:r w:rsidR="002E69BE" w:rsidRPr="002E69BE">
        <w:t>„</w:t>
      </w:r>
      <w:proofErr w:type="spellStart"/>
      <w:r w:rsidR="002E69BE">
        <w:t>Chemia</w:t>
      </w:r>
      <w:proofErr w:type="spellEnd"/>
      <w:r w:rsidR="002E69BE">
        <w:t xml:space="preserve"> </w:t>
      </w:r>
      <w:proofErr w:type="spellStart"/>
      <w:r w:rsidR="002E69BE">
        <w:t>o</w:t>
      </w:r>
      <w:r w:rsidRPr="00267080">
        <w:t>rganiczna</w:t>
      </w:r>
      <w:proofErr w:type="spellEnd"/>
      <w:r w:rsidR="00BD2ED4">
        <w:t>”,</w:t>
      </w:r>
      <w:r w:rsidRPr="00267080">
        <w:t xml:space="preserve"> PWN, 1985 (</w:t>
      </w:r>
      <w:proofErr w:type="spellStart"/>
      <w:r w:rsidRPr="00267080">
        <w:t>trzy</w:t>
      </w:r>
      <w:proofErr w:type="spellEnd"/>
      <w:r w:rsidRPr="00267080">
        <w:t xml:space="preserve"> </w:t>
      </w:r>
      <w:proofErr w:type="spellStart"/>
      <w:r w:rsidRPr="00267080">
        <w:t>tomy</w:t>
      </w:r>
      <w:proofErr w:type="spellEnd"/>
      <w:r w:rsidRPr="00267080">
        <w:t>)</w:t>
      </w:r>
    </w:p>
    <w:p w:rsidR="00267080" w:rsidRPr="00267080" w:rsidRDefault="00267080" w:rsidP="00564305">
      <w:pPr>
        <w:numPr>
          <w:ilvl w:val="0"/>
          <w:numId w:val="7"/>
        </w:numPr>
        <w:jc w:val="both"/>
      </w:pPr>
      <w:r w:rsidRPr="00267080">
        <w:t>J</w:t>
      </w:r>
      <w:r w:rsidR="005E1041">
        <w:t>onathan</w:t>
      </w:r>
      <w:r w:rsidRPr="00267080">
        <w:t xml:space="preserve"> </w:t>
      </w:r>
      <w:proofErr w:type="spellStart"/>
      <w:r w:rsidRPr="00267080">
        <w:t>Clayden</w:t>
      </w:r>
      <w:proofErr w:type="spellEnd"/>
      <w:r w:rsidRPr="00267080">
        <w:t>, N</w:t>
      </w:r>
      <w:r w:rsidR="005E1041">
        <w:t>ick</w:t>
      </w:r>
      <w:r w:rsidRPr="00267080">
        <w:t xml:space="preserve"> Greeves, S</w:t>
      </w:r>
      <w:r w:rsidR="009720BA">
        <w:t>tuart</w:t>
      </w:r>
      <w:r w:rsidRPr="00267080">
        <w:t xml:space="preserve"> Warren, P</w:t>
      </w:r>
      <w:r w:rsidR="009720BA">
        <w:t>eter</w:t>
      </w:r>
      <w:r w:rsidRPr="00267080">
        <w:t xml:space="preserve"> </w:t>
      </w:r>
      <w:proofErr w:type="spellStart"/>
      <w:r w:rsidRPr="00267080">
        <w:t>W</w:t>
      </w:r>
      <w:r w:rsidR="00BD2ED4">
        <w:t>others</w:t>
      </w:r>
      <w:proofErr w:type="spellEnd"/>
      <w:r w:rsidR="00BD2ED4">
        <w:t xml:space="preserve"> </w:t>
      </w:r>
      <w:r w:rsidR="002E69BE" w:rsidRPr="002E69BE">
        <w:t>„</w:t>
      </w:r>
      <w:proofErr w:type="spellStart"/>
      <w:r w:rsidR="002E69BE">
        <w:t>Chemia</w:t>
      </w:r>
      <w:proofErr w:type="spellEnd"/>
      <w:r w:rsidR="002E69BE">
        <w:t xml:space="preserve"> </w:t>
      </w:r>
      <w:proofErr w:type="spellStart"/>
      <w:r w:rsidR="002E69BE">
        <w:t>o</w:t>
      </w:r>
      <w:r w:rsidR="00BD2ED4">
        <w:t>rganiczna</w:t>
      </w:r>
      <w:proofErr w:type="spellEnd"/>
      <w:r w:rsidR="00BD2ED4">
        <w:t>”,</w:t>
      </w:r>
      <w:r w:rsidRPr="00267080">
        <w:t xml:space="preserve"> WNT, 2011 (</w:t>
      </w:r>
      <w:proofErr w:type="spellStart"/>
      <w:r w:rsidRPr="00267080">
        <w:t>cztery</w:t>
      </w:r>
      <w:proofErr w:type="spellEnd"/>
      <w:r w:rsidRPr="00267080">
        <w:t xml:space="preserve"> </w:t>
      </w:r>
      <w:proofErr w:type="spellStart"/>
      <w:r w:rsidRPr="00267080">
        <w:t>tomy</w:t>
      </w:r>
      <w:proofErr w:type="spellEnd"/>
      <w:r w:rsidRPr="00267080">
        <w:t>)</w:t>
      </w:r>
    </w:p>
    <w:p w:rsidR="00267080" w:rsidRPr="000D3967" w:rsidRDefault="00267080" w:rsidP="00564305">
      <w:pPr>
        <w:numPr>
          <w:ilvl w:val="0"/>
          <w:numId w:val="7"/>
        </w:numPr>
        <w:jc w:val="both"/>
        <w:rPr>
          <w:lang w:val="pl-PL"/>
        </w:rPr>
      </w:pPr>
      <w:r w:rsidRPr="002E69BE">
        <w:t xml:space="preserve"> </w:t>
      </w:r>
      <w:r w:rsidRPr="00267080">
        <w:rPr>
          <w:lang w:val="pl-PL"/>
        </w:rPr>
        <w:t>John M</w:t>
      </w:r>
      <w:r w:rsidR="00BD2ED4">
        <w:rPr>
          <w:lang w:val="pl-PL"/>
        </w:rPr>
        <w:t>cMurry, „Chemia Organiczna”</w:t>
      </w:r>
      <w:r w:rsidRPr="00267080">
        <w:rPr>
          <w:lang w:val="pl-PL"/>
        </w:rPr>
        <w:t>, PWN, 2017 (pięć tomów</w:t>
      </w:r>
      <w:r w:rsidR="004B0488">
        <w:rPr>
          <w:lang w:val="pl-PL"/>
        </w:rPr>
        <w:t>)</w:t>
      </w:r>
    </w:p>
    <w:sectPr w:rsidR="00267080" w:rsidRPr="000D3967" w:rsidSect="000A43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F3831"/>
    <w:multiLevelType w:val="hybridMultilevel"/>
    <w:tmpl w:val="44886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A3DDC"/>
    <w:multiLevelType w:val="hybridMultilevel"/>
    <w:tmpl w:val="EDA0A882"/>
    <w:lvl w:ilvl="0" w:tplc="1FA2D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B8295B"/>
    <w:multiLevelType w:val="hybridMultilevel"/>
    <w:tmpl w:val="B57E3D78"/>
    <w:lvl w:ilvl="0" w:tplc="7186B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85069D"/>
    <w:multiLevelType w:val="hybridMultilevel"/>
    <w:tmpl w:val="8B34C2A6"/>
    <w:lvl w:ilvl="0" w:tplc="6256DAA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5136A92"/>
    <w:multiLevelType w:val="hybridMultilevel"/>
    <w:tmpl w:val="9EE8BA96"/>
    <w:lvl w:ilvl="0" w:tplc="84FC2E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DD709C"/>
    <w:multiLevelType w:val="hybridMultilevel"/>
    <w:tmpl w:val="CE02A42A"/>
    <w:lvl w:ilvl="0" w:tplc="20B65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1734C7"/>
    <w:multiLevelType w:val="hybridMultilevel"/>
    <w:tmpl w:val="8C44B2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195"/>
    <w:rsid w:val="00013A04"/>
    <w:rsid w:val="00054118"/>
    <w:rsid w:val="000738B2"/>
    <w:rsid w:val="000A43F0"/>
    <w:rsid w:val="000B5238"/>
    <w:rsid w:val="000C079A"/>
    <w:rsid w:val="000D3967"/>
    <w:rsid w:val="000E63D9"/>
    <w:rsid w:val="00124334"/>
    <w:rsid w:val="00140B7C"/>
    <w:rsid w:val="00190428"/>
    <w:rsid w:val="001B1548"/>
    <w:rsid w:val="001B4240"/>
    <w:rsid w:val="001B5B5D"/>
    <w:rsid w:val="001D517A"/>
    <w:rsid w:val="001F1CF2"/>
    <w:rsid w:val="002103A6"/>
    <w:rsid w:val="00254328"/>
    <w:rsid w:val="002556DC"/>
    <w:rsid w:val="00260BC2"/>
    <w:rsid w:val="00267080"/>
    <w:rsid w:val="002A0273"/>
    <w:rsid w:val="002A502B"/>
    <w:rsid w:val="002D4C8E"/>
    <w:rsid w:val="002E3A21"/>
    <w:rsid w:val="002E69BE"/>
    <w:rsid w:val="002F13C3"/>
    <w:rsid w:val="0030720E"/>
    <w:rsid w:val="00313313"/>
    <w:rsid w:val="00335E0D"/>
    <w:rsid w:val="0033724C"/>
    <w:rsid w:val="00345153"/>
    <w:rsid w:val="00356487"/>
    <w:rsid w:val="00371042"/>
    <w:rsid w:val="00382002"/>
    <w:rsid w:val="003A125F"/>
    <w:rsid w:val="003A3FC6"/>
    <w:rsid w:val="003E2D49"/>
    <w:rsid w:val="00415BF3"/>
    <w:rsid w:val="0042322E"/>
    <w:rsid w:val="00466835"/>
    <w:rsid w:val="004B0488"/>
    <w:rsid w:val="004B79E6"/>
    <w:rsid w:val="00516F16"/>
    <w:rsid w:val="0053324E"/>
    <w:rsid w:val="00564305"/>
    <w:rsid w:val="00576289"/>
    <w:rsid w:val="005D195C"/>
    <w:rsid w:val="005D3D42"/>
    <w:rsid w:val="005E1041"/>
    <w:rsid w:val="00654324"/>
    <w:rsid w:val="00661E10"/>
    <w:rsid w:val="00671E8F"/>
    <w:rsid w:val="00683522"/>
    <w:rsid w:val="00685F97"/>
    <w:rsid w:val="006A078D"/>
    <w:rsid w:val="006C2DE1"/>
    <w:rsid w:val="006C4983"/>
    <w:rsid w:val="006E3AB2"/>
    <w:rsid w:val="00721312"/>
    <w:rsid w:val="00730853"/>
    <w:rsid w:val="00774FD7"/>
    <w:rsid w:val="00777B86"/>
    <w:rsid w:val="00781F76"/>
    <w:rsid w:val="00797FCB"/>
    <w:rsid w:val="00805FB7"/>
    <w:rsid w:val="00807CE8"/>
    <w:rsid w:val="00815C8F"/>
    <w:rsid w:val="00826CE3"/>
    <w:rsid w:val="00835DAD"/>
    <w:rsid w:val="00861367"/>
    <w:rsid w:val="008A4595"/>
    <w:rsid w:val="00952DFE"/>
    <w:rsid w:val="009720BA"/>
    <w:rsid w:val="00983987"/>
    <w:rsid w:val="009B23E8"/>
    <w:rsid w:val="009B3C0B"/>
    <w:rsid w:val="009C2648"/>
    <w:rsid w:val="009F7E94"/>
    <w:rsid w:val="00A04340"/>
    <w:rsid w:val="00A11B91"/>
    <w:rsid w:val="00A12CA6"/>
    <w:rsid w:val="00A32105"/>
    <w:rsid w:val="00A474FF"/>
    <w:rsid w:val="00A543F5"/>
    <w:rsid w:val="00A77195"/>
    <w:rsid w:val="00AB3965"/>
    <w:rsid w:val="00AC37D7"/>
    <w:rsid w:val="00AC5FC6"/>
    <w:rsid w:val="00B46A7A"/>
    <w:rsid w:val="00B549D6"/>
    <w:rsid w:val="00B75CEE"/>
    <w:rsid w:val="00BB4923"/>
    <w:rsid w:val="00BD2ED4"/>
    <w:rsid w:val="00BE35EB"/>
    <w:rsid w:val="00BE50D8"/>
    <w:rsid w:val="00C031F2"/>
    <w:rsid w:val="00C04383"/>
    <w:rsid w:val="00C902DE"/>
    <w:rsid w:val="00C960A7"/>
    <w:rsid w:val="00C97483"/>
    <w:rsid w:val="00CA3A9C"/>
    <w:rsid w:val="00CB7560"/>
    <w:rsid w:val="00CE3850"/>
    <w:rsid w:val="00D806B5"/>
    <w:rsid w:val="00DB39F8"/>
    <w:rsid w:val="00DD620E"/>
    <w:rsid w:val="00E22BCC"/>
    <w:rsid w:val="00E34BE5"/>
    <w:rsid w:val="00E5191B"/>
    <w:rsid w:val="00E53127"/>
    <w:rsid w:val="00E54495"/>
    <w:rsid w:val="00E777AF"/>
    <w:rsid w:val="00E909D9"/>
    <w:rsid w:val="00ED4749"/>
    <w:rsid w:val="00F53889"/>
    <w:rsid w:val="00F72C95"/>
    <w:rsid w:val="00FA22D6"/>
    <w:rsid w:val="00FA2C76"/>
    <w:rsid w:val="00FA3236"/>
    <w:rsid w:val="00FC310C"/>
    <w:rsid w:val="00FC6134"/>
    <w:rsid w:val="00FF2C32"/>
    <w:rsid w:val="00F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BECC0-6BBB-4EFA-B3FE-E1C25D27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195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685F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85F9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791</Words>
  <Characters>4748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 Hot Water Company</Company>
  <LinksUpToDate>false</LinksUpToDate>
  <CharactersWithSpaces>5528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 von Stirlitz</dc:creator>
  <cp:keywords/>
  <cp:lastModifiedBy>Lilianna</cp:lastModifiedBy>
  <cp:revision>2</cp:revision>
  <cp:lastPrinted>2021-10-04T06:25:00Z</cp:lastPrinted>
  <dcterms:created xsi:type="dcterms:W3CDTF">2025-10-08T11:02:00Z</dcterms:created>
  <dcterms:modified xsi:type="dcterms:W3CDTF">2025-10-08T11:02:00Z</dcterms:modified>
</cp:coreProperties>
</file>