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1AF" w:rsidRPr="0043762A" w:rsidRDefault="00A3490F" w:rsidP="0043762A">
      <w:pPr>
        <w:spacing w:line="276" w:lineRule="auto"/>
        <w:jc w:val="center"/>
        <w:rPr>
          <w:b/>
          <w:sz w:val="28"/>
        </w:rPr>
      </w:pPr>
      <w:bookmarkStart w:id="0" w:name="_GoBack"/>
      <w:bookmarkEnd w:id="0"/>
      <w:r w:rsidRPr="0043762A">
        <w:rPr>
          <w:b/>
          <w:sz w:val="28"/>
        </w:rPr>
        <w:t>OZNACZANIE JAKOŚCIOWE SUBSTANCJI PSYCHOAKTYWNYCH ZA POMOCĄ CHROMATOGRAFIA CIENKOWARSTWOWA</w:t>
      </w:r>
    </w:p>
    <w:p w:rsidR="0043762A" w:rsidRDefault="0043762A">
      <w:pPr>
        <w:rPr>
          <w:b/>
        </w:rPr>
      </w:pPr>
    </w:p>
    <w:p w:rsidR="00A3490F" w:rsidRPr="00F82B49" w:rsidRDefault="00A3490F">
      <w:pPr>
        <w:rPr>
          <w:b/>
        </w:rPr>
      </w:pPr>
      <w:r w:rsidRPr="00F82B49">
        <w:rPr>
          <w:b/>
        </w:rPr>
        <w:t>Zasada metody:</w:t>
      </w:r>
    </w:p>
    <w:p w:rsidR="00A3490F" w:rsidRDefault="00A3490F" w:rsidP="005B024B">
      <w:pPr>
        <w:ind w:firstLine="708"/>
        <w:jc w:val="both"/>
      </w:pPr>
      <w:r>
        <w:t xml:space="preserve">Chromatografia cienkowarstwowa (TLC, ang. </w:t>
      </w:r>
      <w:r>
        <w:rPr>
          <w:rStyle w:val="Uwydatnienie"/>
        </w:rPr>
        <w:t>Thin Layer Chromatography</w:t>
      </w:r>
      <w:r>
        <w:t>) to technika analityczna służąca do rozdzielania mieszanin związków chemicznych. Polega na nanoszeniu badanej próbki na płytkę pokrytą cienką warstwą adsorbentu, najczęściej tlenku glinu lub krzemionki. Płytkę umieszcza się w szczelnie zamkniętej komorze zawierającej rozpuszczalnik (fazę ruchomą). W wyniku kapilarnego działania rozpuszczalnik przemieszcza się w górę płytki, pociągając za sobą składniki próbki. Różne związki w mieszaninie przemieszczają się z różną szybkością w zależności od ich powinowactwa do fazy stacjonarnej i rozpuszczalnika, co prowadzi do ich rozdzielenia. Po zakończeniu rozdziału plamy substancji ujawnia się pod lampą UV lub przy użyciu reagentów barwiących. TLC jest prostą, szybką i niedrogą metodą stosowaną do identyfikacji związków, oceny czystości oraz monitorowania przebiegu reakcji chemicznych.</w:t>
      </w:r>
    </w:p>
    <w:p w:rsidR="00A3490F" w:rsidRPr="00F82B49" w:rsidRDefault="00A3490F">
      <w:pPr>
        <w:rPr>
          <w:b/>
        </w:rPr>
      </w:pPr>
      <w:r w:rsidRPr="00F82B49">
        <w:rPr>
          <w:b/>
        </w:rPr>
        <w:t>Wzorce:</w:t>
      </w:r>
    </w:p>
    <w:p w:rsidR="00A3490F" w:rsidRDefault="00A3490F">
      <w:r>
        <w:t xml:space="preserve">Roztwory wzorcowe posiadają stężenie 5mg/ml i zostały przygotowane poprzez rozpuszczenie </w:t>
      </w:r>
      <w:r w:rsidR="008E4AF1">
        <w:t>danej substancji w metanolu.</w:t>
      </w:r>
    </w:p>
    <w:p w:rsidR="00A3490F" w:rsidRDefault="00A3490F" w:rsidP="00F82B49">
      <w:pPr>
        <w:pStyle w:val="Akapitzlist"/>
        <w:numPr>
          <w:ilvl w:val="0"/>
          <w:numId w:val="1"/>
        </w:numPr>
        <w:spacing w:line="240" w:lineRule="auto"/>
      </w:pPr>
      <w:r>
        <w:t xml:space="preserve">Barbital </w:t>
      </w:r>
    </w:p>
    <w:p w:rsidR="00A3490F" w:rsidRDefault="00A3490F" w:rsidP="00F82B49">
      <w:pPr>
        <w:pStyle w:val="Akapitzlist"/>
        <w:numPr>
          <w:ilvl w:val="0"/>
          <w:numId w:val="1"/>
        </w:numPr>
        <w:spacing w:line="240" w:lineRule="auto"/>
      </w:pPr>
      <w:r>
        <w:t xml:space="preserve">Fenobarbital </w:t>
      </w:r>
    </w:p>
    <w:p w:rsidR="00A3490F" w:rsidRDefault="00A3490F" w:rsidP="00F82B49">
      <w:pPr>
        <w:pStyle w:val="Akapitzlist"/>
        <w:numPr>
          <w:ilvl w:val="0"/>
          <w:numId w:val="1"/>
        </w:numPr>
        <w:spacing w:line="240" w:lineRule="auto"/>
      </w:pPr>
      <w:r>
        <w:t>Morfina</w:t>
      </w:r>
    </w:p>
    <w:p w:rsidR="00A3490F" w:rsidRDefault="00A3490F" w:rsidP="00F82B49">
      <w:pPr>
        <w:pStyle w:val="Akapitzlist"/>
        <w:numPr>
          <w:ilvl w:val="0"/>
          <w:numId w:val="1"/>
        </w:numPr>
        <w:spacing w:line="240" w:lineRule="auto"/>
      </w:pPr>
      <w:r>
        <w:t>Kodeina</w:t>
      </w:r>
    </w:p>
    <w:p w:rsidR="00A3490F" w:rsidRDefault="00A3490F" w:rsidP="00F82B49">
      <w:pPr>
        <w:pStyle w:val="Akapitzlist"/>
        <w:numPr>
          <w:ilvl w:val="0"/>
          <w:numId w:val="1"/>
        </w:numPr>
        <w:spacing w:line="240" w:lineRule="auto"/>
      </w:pPr>
      <w:r>
        <w:t>Nitrazepam</w:t>
      </w:r>
    </w:p>
    <w:p w:rsidR="00A3490F" w:rsidRDefault="00A3490F" w:rsidP="00F82B49">
      <w:pPr>
        <w:pStyle w:val="Akapitzlist"/>
        <w:numPr>
          <w:ilvl w:val="0"/>
          <w:numId w:val="1"/>
        </w:numPr>
        <w:spacing w:line="240" w:lineRule="auto"/>
      </w:pPr>
      <w:r>
        <w:t>Oksazepam</w:t>
      </w:r>
    </w:p>
    <w:p w:rsidR="006861CE" w:rsidRPr="00F82B49" w:rsidRDefault="006861CE" w:rsidP="00283215">
      <w:pPr>
        <w:rPr>
          <w:b/>
        </w:rPr>
      </w:pPr>
      <w:r w:rsidRPr="00F82B49">
        <w:rPr>
          <w:b/>
        </w:rPr>
        <w:t>Płytka chromatograficzna:</w:t>
      </w:r>
    </w:p>
    <w:p w:rsidR="006861CE" w:rsidRDefault="000B5916" w:rsidP="00F82B49">
      <w:pPr>
        <w:pStyle w:val="Akapitzlist"/>
        <w:numPr>
          <w:ilvl w:val="0"/>
          <w:numId w:val="4"/>
        </w:numPr>
      </w:pPr>
      <w:r>
        <w:t>TLC Silica gel 60</w:t>
      </w:r>
    </w:p>
    <w:p w:rsidR="00283215" w:rsidRPr="00F82B49" w:rsidRDefault="00283215" w:rsidP="00283215">
      <w:pPr>
        <w:rPr>
          <w:b/>
        </w:rPr>
      </w:pPr>
      <w:r w:rsidRPr="00F82B49">
        <w:rPr>
          <w:b/>
        </w:rPr>
        <w:t>Wywoływacz:</w:t>
      </w:r>
    </w:p>
    <w:p w:rsidR="00283215" w:rsidRDefault="000B5916" w:rsidP="00F82B49">
      <w:pPr>
        <w:pStyle w:val="Akapitzlist"/>
        <w:numPr>
          <w:ilvl w:val="0"/>
          <w:numId w:val="4"/>
        </w:numPr>
      </w:pPr>
      <w:r>
        <w:t>Lampa UV: 254nm i 365nm</w:t>
      </w:r>
    </w:p>
    <w:p w:rsidR="00283215" w:rsidRPr="00F82B49" w:rsidRDefault="00283215" w:rsidP="00283215">
      <w:pPr>
        <w:rPr>
          <w:b/>
        </w:rPr>
      </w:pPr>
      <w:r w:rsidRPr="00F82B49">
        <w:rPr>
          <w:b/>
        </w:rPr>
        <w:t>Układ rozwijający:</w:t>
      </w:r>
    </w:p>
    <w:p w:rsidR="00283215" w:rsidRDefault="00283215" w:rsidP="00F82B49">
      <w:pPr>
        <w:pStyle w:val="Akapitzlist"/>
        <w:numPr>
          <w:ilvl w:val="0"/>
          <w:numId w:val="4"/>
        </w:numPr>
      </w:pPr>
      <w:r>
        <w:t>Chloroform, metanol, amoniak 25% (90:10:1)</w:t>
      </w:r>
    </w:p>
    <w:p w:rsidR="006861CE" w:rsidRDefault="006861CE" w:rsidP="00283215">
      <w:r w:rsidRPr="00F82B49">
        <w:rPr>
          <w:b/>
        </w:rPr>
        <w:lastRenderedPageBreak/>
        <w:t>Badana próbka</w:t>
      </w:r>
      <w:r>
        <w:t>: roztwór metanolowy nieznanej substancji psychoaktywnej po ekstrakcji z materiału biologicznego</w:t>
      </w:r>
    </w:p>
    <w:p w:rsidR="006861CE" w:rsidRPr="00740378" w:rsidRDefault="006861CE" w:rsidP="00283215">
      <w:pPr>
        <w:rPr>
          <w:b/>
        </w:rPr>
      </w:pPr>
      <w:r w:rsidRPr="00740378">
        <w:rPr>
          <w:b/>
        </w:rPr>
        <w:t>Wykonanie oznaczenia:</w:t>
      </w:r>
    </w:p>
    <w:p w:rsidR="006861CE" w:rsidRDefault="00AA1E62" w:rsidP="006861CE">
      <w:pPr>
        <w:pStyle w:val="Akapitzlist"/>
        <w:numPr>
          <w:ilvl w:val="0"/>
          <w:numId w:val="2"/>
        </w:numPr>
      </w:pPr>
      <w:r>
        <w:t>Położyć płytkę chromatograficzną na kartce papieru i na kartce papieru zaznaczyć linię start oraz opisać, gdzie nanoszone będą wzorce i próbki</w:t>
      </w:r>
    </w:p>
    <w:p w:rsidR="00AA1E62" w:rsidRDefault="00AA1E62" w:rsidP="006861CE">
      <w:pPr>
        <w:pStyle w:val="Akapitzlist"/>
        <w:numPr>
          <w:ilvl w:val="0"/>
          <w:numId w:val="2"/>
        </w:numPr>
      </w:pPr>
      <w:r>
        <w:t>Za pomocą kapilary nanieść próbki badane oraz wzorce na płytkę, starając się aby miejsce nakrapiania było jak najmniejsze</w:t>
      </w:r>
    </w:p>
    <w:p w:rsidR="00AA1E62" w:rsidRDefault="00AA1E62" w:rsidP="006861CE">
      <w:pPr>
        <w:pStyle w:val="Akapitzlist"/>
        <w:numPr>
          <w:ilvl w:val="0"/>
          <w:numId w:val="2"/>
        </w:numPr>
      </w:pPr>
      <w:r>
        <w:t>Umieścić płytkę w komorze chromatograficznej i odczekać ok. 30-40 minut aż faza ruchoma sięgnie do ok. ¾ wysokości płytki.</w:t>
      </w:r>
    </w:p>
    <w:p w:rsidR="00AA1E62" w:rsidRDefault="00AA1E62" w:rsidP="006861CE">
      <w:pPr>
        <w:pStyle w:val="Akapitzlist"/>
        <w:numPr>
          <w:ilvl w:val="0"/>
          <w:numId w:val="2"/>
        </w:numPr>
      </w:pPr>
      <w:r>
        <w:t xml:space="preserve">Wyjąć płytkę, zaznaczyć ołówkiem linię stop i wysuszyć płytkę pod wyciągiem za pomocą suszarki. </w:t>
      </w:r>
    </w:p>
    <w:p w:rsidR="00AA1E62" w:rsidRDefault="00AA1E62" w:rsidP="006861CE">
      <w:pPr>
        <w:pStyle w:val="Akapitzlist"/>
        <w:numPr>
          <w:ilvl w:val="0"/>
          <w:numId w:val="2"/>
        </w:numPr>
      </w:pPr>
      <w:r>
        <w:t>Za pomocą lampy UV oznaczyć substancje badane oraz wzorce.</w:t>
      </w:r>
    </w:p>
    <w:p w:rsidR="00AA1E62" w:rsidRDefault="00AA1E62" w:rsidP="006861CE">
      <w:pPr>
        <w:pStyle w:val="Akapitzlist"/>
        <w:numPr>
          <w:ilvl w:val="0"/>
          <w:numId w:val="2"/>
        </w:numPr>
      </w:pPr>
      <w:r>
        <w:t>Policzyć współczynniki Rf dla wzorców oraz substancji badanych i na tej podstawie zidentyfikować, co znajdowało się w próbkach badanych</w:t>
      </w:r>
    </w:p>
    <w:p w:rsidR="00AA1E62" w:rsidRPr="000118B3" w:rsidRDefault="00AA1E62" w:rsidP="00AA1E62">
      <w:pPr>
        <w:rPr>
          <w:b/>
        </w:rPr>
      </w:pPr>
      <w:r w:rsidRPr="000118B3">
        <w:rPr>
          <w:b/>
        </w:rPr>
        <w:t>Porównanie chromatografii cienkowarstwowej i HPLC:</w:t>
      </w:r>
    </w:p>
    <w:p w:rsidR="00AA1E62" w:rsidRDefault="001C6CB7" w:rsidP="00AA1E62">
      <w:r>
        <w:t>Proszę wymienić następujące elementy dla obu technik chromatograficznych:</w:t>
      </w:r>
    </w:p>
    <w:p w:rsidR="001C6CB7" w:rsidRDefault="001C6CB7" w:rsidP="000118B3">
      <w:pPr>
        <w:pStyle w:val="Akapitzlist"/>
        <w:numPr>
          <w:ilvl w:val="0"/>
          <w:numId w:val="3"/>
        </w:numPr>
        <w:spacing w:line="240" w:lineRule="auto"/>
      </w:pPr>
      <w:r>
        <w:t>faza stacjonarna</w:t>
      </w:r>
    </w:p>
    <w:p w:rsidR="001C6CB7" w:rsidRDefault="001C6CB7" w:rsidP="000118B3">
      <w:pPr>
        <w:pStyle w:val="Akapitzlist"/>
        <w:numPr>
          <w:ilvl w:val="0"/>
          <w:numId w:val="3"/>
        </w:numPr>
        <w:spacing w:line="240" w:lineRule="auto"/>
      </w:pPr>
      <w:r>
        <w:t>faza ruchoma</w:t>
      </w:r>
    </w:p>
    <w:p w:rsidR="001C6CB7" w:rsidRDefault="001C6CB7" w:rsidP="000118B3">
      <w:pPr>
        <w:pStyle w:val="Akapitzlist"/>
        <w:numPr>
          <w:ilvl w:val="0"/>
          <w:numId w:val="3"/>
        </w:numPr>
        <w:spacing w:line="240" w:lineRule="auto"/>
      </w:pPr>
      <w:r>
        <w:t>sposób detekcji</w:t>
      </w:r>
    </w:p>
    <w:p w:rsidR="001C6CB7" w:rsidRDefault="001C6CB7" w:rsidP="000118B3">
      <w:pPr>
        <w:pStyle w:val="Akapitzlist"/>
        <w:numPr>
          <w:ilvl w:val="0"/>
          <w:numId w:val="3"/>
        </w:numPr>
        <w:spacing w:line="240" w:lineRule="auto"/>
      </w:pPr>
      <w:r>
        <w:t>czas analizy</w:t>
      </w:r>
    </w:p>
    <w:p w:rsidR="001C6CB7" w:rsidRDefault="001C6CB7" w:rsidP="000118B3">
      <w:pPr>
        <w:pStyle w:val="Akapitzlist"/>
        <w:numPr>
          <w:ilvl w:val="0"/>
          <w:numId w:val="3"/>
        </w:numPr>
        <w:spacing w:line="240" w:lineRule="auto"/>
      </w:pPr>
      <w:r>
        <w:t>wady</w:t>
      </w:r>
    </w:p>
    <w:p w:rsidR="001C6CB7" w:rsidRDefault="001C6CB7" w:rsidP="000118B3">
      <w:pPr>
        <w:pStyle w:val="Akapitzlist"/>
        <w:numPr>
          <w:ilvl w:val="0"/>
          <w:numId w:val="3"/>
        </w:numPr>
        <w:spacing w:line="240" w:lineRule="auto"/>
      </w:pPr>
      <w:r>
        <w:t>zalety</w:t>
      </w:r>
    </w:p>
    <w:sectPr w:rsidR="001C6CB7" w:rsidSect="00EF2FE7">
      <w:type w:val="continuous"/>
      <w:pgSz w:w="11906" w:h="16838"/>
      <w:pgMar w:top="1440" w:right="1440" w:bottom="1440" w:left="1440" w:header="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8F3F33"/>
    <w:multiLevelType w:val="hybridMultilevel"/>
    <w:tmpl w:val="734CB7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8D15E3"/>
    <w:multiLevelType w:val="hybridMultilevel"/>
    <w:tmpl w:val="B81A76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7171E"/>
    <w:multiLevelType w:val="hybridMultilevel"/>
    <w:tmpl w:val="774293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893334"/>
    <w:multiLevelType w:val="hybridMultilevel"/>
    <w:tmpl w:val="2952A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90F"/>
    <w:rsid w:val="000118B3"/>
    <w:rsid w:val="000B5916"/>
    <w:rsid w:val="001C6CB7"/>
    <w:rsid w:val="001D3FE3"/>
    <w:rsid w:val="002335FB"/>
    <w:rsid w:val="00263FEB"/>
    <w:rsid w:val="00283215"/>
    <w:rsid w:val="00311D2A"/>
    <w:rsid w:val="003361AF"/>
    <w:rsid w:val="0043762A"/>
    <w:rsid w:val="005B024B"/>
    <w:rsid w:val="005B4B6D"/>
    <w:rsid w:val="006531A9"/>
    <w:rsid w:val="006861CE"/>
    <w:rsid w:val="00732451"/>
    <w:rsid w:val="00740378"/>
    <w:rsid w:val="008B0B22"/>
    <w:rsid w:val="008E4AF1"/>
    <w:rsid w:val="00A3490F"/>
    <w:rsid w:val="00AA1E62"/>
    <w:rsid w:val="00BF1F68"/>
    <w:rsid w:val="00EF2FE7"/>
    <w:rsid w:val="00F8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1E79D6-1504-4D86-84D8-01023175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11D2A"/>
    <w:pPr>
      <w:spacing w:line="36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F1F68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color w:val="538135" w:themeColor="accent6" w:themeShade="BF"/>
      <w:sz w:val="36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F1F68"/>
    <w:rPr>
      <w:rFonts w:asciiTheme="majorHAnsi" w:eastAsiaTheme="majorEastAsia" w:hAnsiTheme="majorHAnsi" w:cstheme="majorBidi"/>
      <w:b/>
      <w:color w:val="538135" w:themeColor="accent6" w:themeShade="BF"/>
      <w:sz w:val="36"/>
      <w:szCs w:val="32"/>
    </w:rPr>
  </w:style>
  <w:style w:type="character" w:styleId="Uwydatnienie">
    <w:name w:val="Emphasis"/>
    <w:basedOn w:val="Domylnaczcionkaakapitu"/>
    <w:uiPriority w:val="20"/>
    <w:qFormat/>
    <w:rsid w:val="00A3490F"/>
    <w:rPr>
      <w:i/>
      <w:iCs/>
    </w:rPr>
  </w:style>
  <w:style w:type="paragraph" w:styleId="Akapitzlist">
    <w:name w:val="List Paragraph"/>
    <w:basedOn w:val="Normalny"/>
    <w:uiPriority w:val="34"/>
    <w:qFormat/>
    <w:rsid w:val="00A349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</dc:creator>
  <cp:keywords/>
  <dc:description/>
  <cp:lastModifiedBy>umed</cp:lastModifiedBy>
  <cp:revision>2</cp:revision>
  <dcterms:created xsi:type="dcterms:W3CDTF">2026-01-20T10:11:00Z</dcterms:created>
  <dcterms:modified xsi:type="dcterms:W3CDTF">2026-01-20T10:11:00Z</dcterms:modified>
</cp:coreProperties>
</file>