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1A2A3" w14:textId="0C026894" w:rsidR="00866F0D" w:rsidRPr="002C2279" w:rsidRDefault="0B138292" w:rsidP="00866F0D">
      <w:pPr>
        <w:pStyle w:val="Nagwek"/>
        <w:ind w:left="4962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544FFE06">
        <w:rPr>
          <w:rFonts w:ascii="Times New Roman" w:hAnsi="Times New Roman" w:cs="Times New Roman"/>
        </w:rPr>
        <w:t xml:space="preserve"> </w:t>
      </w:r>
    </w:p>
    <w:p w14:paraId="0C65C1DE" w14:textId="5FB6C432" w:rsidR="00866F0D" w:rsidRPr="0082582D" w:rsidRDefault="00866F0D" w:rsidP="00866F0D">
      <w:pPr>
        <w:pStyle w:val="Nagwek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82582D">
        <w:rPr>
          <w:rFonts w:ascii="Times New Roman" w:hAnsi="Times New Roman" w:cs="Times New Roman"/>
          <w:sz w:val="20"/>
          <w:szCs w:val="20"/>
        </w:rPr>
        <w:t>Załącznik do Polityki publikacyjnej</w:t>
      </w:r>
    </w:p>
    <w:p w14:paraId="36CB21F0" w14:textId="1723B522" w:rsidR="00866F0D" w:rsidRPr="0082582D" w:rsidRDefault="00866F0D" w:rsidP="00866F0D">
      <w:pPr>
        <w:pStyle w:val="Nagwek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82582D">
        <w:rPr>
          <w:rFonts w:ascii="Times New Roman" w:hAnsi="Times New Roman" w:cs="Times New Roman"/>
          <w:sz w:val="20"/>
          <w:szCs w:val="20"/>
        </w:rPr>
        <w:t xml:space="preserve">do </w:t>
      </w:r>
      <w:r w:rsidR="00F45654">
        <w:rPr>
          <w:rFonts w:ascii="Times New Roman" w:hAnsi="Times New Roman" w:cs="Times New Roman"/>
          <w:sz w:val="20"/>
          <w:szCs w:val="20"/>
        </w:rPr>
        <w:t>z</w:t>
      </w:r>
      <w:r w:rsidRPr="0082582D">
        <w:rPr>
          <w:rFonts w:ascii="Times New Roman" w:hAnsi="Times New Roman" w:cs="Times New Roman"/>
          <w:sz w:val="20"/>
          <w:szCs w:val="20"/>
        </w:rPr>
        <w:t>arządzenia nr</w:t>
      </w:r>
      <w:r w:rsidR="00F76CDC">
        <w:rPr>
          <w:rFonts w:ascii="Times New Roman" w:hAnsi="Times New Roman" w:cs="Times New Roman"/>
          <w:sz w:val="20"/>
          <w:szCs w:val="20"/>
        </w:rPr>
        <w:t xml:space="preserve"> 5</w:t>
      </w:r>
      <w:r w:rsidR="000F7649">
        <w:rPr>
          <w:rFonts w:ascii="Times New Roman" w:hAnsi="Times New Roman" w:cs="Times New Roman"/>
          <w:sz w:val="20"/>
          <w:szCs w:val="20"/>
        </w:rPr>
        <w:t>/XVI R/202</w:t>
      </w:r>
      <w:r w:rsidR="00F76CDC">
        <w:rPr>
          <w:rFonts w:ascii="Times New Roman" w:hAnsi="Times New Roman" w:cs="Times New Roman"/>
          <w:sz w:val="20"/>
          <w:szCs w:val="20"/>
        </w:rPr>
        <w:t>6</w:t>
      </w:r>
    </w:p>
    <w:p w14:paraId="29E1C82F" w14:textId="77777777" w:rsidR="00866F0D" w:rsidRPr="0082582D" w:rsidRDefault="00866F0D" w:rsidP="00866F0D">
      <w:pPr>
        <w:pStyle w:val="Nagwek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82582D">
        <w:rPr>
          <w:rFonts w:ascii="Times New Roman" w:hAnsi="Times New Roman" w:cs="Times New Roman"/>
          <w:sz w:val="20"/>
          <w:szCs w:val="20"/>
        </w:rPr>
        <w:t xml:space="preserve">Rektora Uniwersytetu Medycznego we Wrocławiu </w:t>
      </w:r>
    </w:p>
    <w:p w14:paraId="5ABACEEA" w14:textId="476663CB" w:rsidR="000F6800" w:rsidRDefault="00866F0D" w:rsidP="000F6800">
      <w:pPr>
        <w:pStyle w:val="Nagwek"/>
        <w:spacing w:after="240"/>
        <w:ind w:left="4961"/>
        <w:jc w:val="both"/>
        <w:rPr>
          <w:rFonts w:ascii="Times New Roman" w:hAnsi="Times New Roman" w:cs="Times New Roman"/>
          <w:sz w:val="20"/>
          <w:szCs w:val="20"/>
        </w:rPr>
      </w:pPr>
      <w:r w:rsidRPr="0082582D">
        <w:rPr>
          <w:rFonts w:ascii="Times New Roman" w:hAnsi="Times New Roman" w:cs="Times New Roman"/>
          <w:sz w:val="20"/>
          <w:szCs w:val="20"/>
        </w:rPr>
        <w:t>z dnia</w:t>
      </w:r>
      <w:r w:rsidR="00F76CDC">
        <w:rPr>
          <w:rFonts w:ascii="Times New Roman" w:hAnsi="Times New Roman" w:cs="Times New Roman"/>
          <w:sz w:val="20"/>
          <w:szCs w:val="20"/>
        </w:rPr>
        <w:t xml:space="preserve"> 21 stycznia </w:t>
      </w:r>
      <w:r w:rsidR="000F7649">
        <w:rPr>
          <w:rFonts w:ascii="Times New Roman" w:hAnsi="Times New Roman" w:cs="Times New Roman"/>
          <w:sz w:val="20"/>
          <w:szCs w:val="20"/>
        </w:rPr>
        <w:t>202</w:t>
      </w:r>
      <w:r w:rsidR="00F76CDC">
        <w:rPr>
          <w:rFonts w:ascii="Times New Roman" w:hAnsi="Times New Roman" w:cs="Times New Roman"/>
          <w:sz w:val="20"/>
          <w:szCs w:val="20"/>
        </w:rPr>
        <w:t>6</w:t>
      </w:r>
      <w:r w:rsidR="000F7649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1E355FC" w14:textId="77777777" w:rsidR="008E2A57" w:rsidRPr="0082582D" w:rsidRDefault="008E2A57" w:rsidP="000F6800">
      <w:pPr>
        <w:pStyle w:val="Nagwek"/>
        <w:spacing w:after="240"/>
        <w:ind w:left="4961"/>
        <w:jc w:val="both"/>
        <w:rPr>
          <w:rFonts w:ascii="Times New Roman" w:hAnsi="Times New Roman" w:cs="Times New Roman"/>
          <w:sz w:val="20"/>
          <w:szCs w:val="20"/>
        </w:rPr>
      </w:pPr>
    </w:p>
    <w:p w14:paraId="3124CC9D" w14:textId="4BA0C798" w:rsidR="49567544" w:rsidRPr="0082582D" w:rsidRDefault="49567544" w:rsidP="000F6800">
      <w:pPr>
        <w:spacing w:before="120" w:afterAutospacing="1" w:line="278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2582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Szczegółowe zasady deponowania/udostępniania danych badawczych </w:t>
      </w:r>
    </w:p>
    <w:p w14:paraId="04556B78" w14:textId="08CEBAC3" w:rsidR="49567544" w:rsidRPr="0082582D" w:rsidRDefault="34AB9C88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Autorzy publikacji</w:t>
      </w:r>
      <w:r w:rsidR="49567544"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58D09334"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powinni</w:t>
      </w:r>
      <w:r w:rsidR="000B4430"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49567544"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podj</w:t>
      </w:r>
      <w:r w:rsidR="7C28997B"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ąć</w:t>
      </w:r>
      <w:r w:rsidR="49567544"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wszelkie możliwe starania, by zapewnić szeroki dostęp do wytworzonych danych badawczych.</w:t>
      </w:r>
    </w:p>
    <w:p w14:paraId="77D9C3F2" w14:textId="41B8ED96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Przed udostępnianiem danych zaleca się dokonanie selekcji danych, sprawdzenia poprawności nazewnictwa plików/folderów oraz kontroli wersji. </w:t>
      </w:r>
    </w:p>
    <w:p w14:paraId="17087FF6" w14:textId="24D3065C" w:rsidR="49567544" w:rsidRPr="00DA7C93" w:rsidRDefault="6D72301C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Autorzy przygotowują dokumentację pozwalającą na zrozumienie oraz właściwą interpretację zamieszczonych danych dla wszystkich przygotowanych do zdeponowania zestawów danych badawczych (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datasetów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). Taką dokumentację może stanowić plik tekstowy, tzw. plik README. Dokumentacja powinna zawierać między innymi takie informacje, jak: dane autorów, wskazanie afiliacji, dane kontaktowe, zastosowaną metodologię, kontekst badawczy, szczegółowe informacje na temat struktury zbioru danych, formatu plików, źródeł danych oraz wszelkich innych informacji niezbędnych do ich prawidłowej interpretacji i ponownego wykorzystania.</w:t>
      </w:r>
      <w:r w:rsidR="49567544"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</w:p>
    <w:p w14:paraId="6201F5DA" w14:textId="0ECC9ED1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Uczestnicy procesów publikacyjnych </w:t>
      </w:r>
      <w:r w:rsidR="00C05EA7"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(</w:t>
      </w:r>
      <w:r w:rsidR="00773084"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autorzy</w:t>
      </w:r>
      <w:r w:rsidR="00C05EA7"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)</w:t>
      </w:r>
      <w:r w:rsidR="0A13530E"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deponują i udostępniają dane badawcze (surowe, przetworzone) oraz materiały metodologiczne, stanowiące podstawę opracowania wyników zaprezentowanych w publikacji, w repozytoriach otwartych danych badawczych (np. w repozytorium instytucjonalnym UMW - Polska Platforma Medyczna UMW - Repozytorium PPM-UMW), zapewniających trwałość dostępu dzięki stosowaniu unikalnych cyfrowych identyfikatorów PID (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Persistent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Identifier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), np. DOI., bezpieczeństwo oraz możliwość weryfikacji wyników badań. </w:t>
      </w:r>
    </w:p>
    <w:p w14:paraId="2397DE09" w14:textId="1644718F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Jeżeli to możliwe pliki powinny być udostępniane w formatach otwartych lub specyficznych dla danej dziedziny naukowej. </w:t>
      </w:r>
    </w:p>
    <w:p w14:paraId="26E7243F" w14:textId="73BF8A7B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Po zakończonym procesie udostępnienia danych w repozytorium – w przypadku konieczności dokonania zmian w plikach – zaleca się skorzystanie z funkcji wersjonowania danych (opcja dostępna w Repozytorium PPM-UMW). </w:t>
      </w:r>
    </w:p>
    <w:p w14:paraId="69EC792B" w14:textId="32C3120C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Dane badawcze powinny być udostępniane z poszanowaniem obowiązujących przepisów prawa</w:t>
      </w:r>
      <w:r w:rsidR="003C744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, w tym</w:t>
      </w: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dotyczących ochrony danych osobowych, w szczególności </w:t>
      </w:r>
      <w:r w:rsidR="003C744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rozporządzenia Parlamentu Europejskiego i Rady (UE) 2016/679 z dnia 27 kwietnia 2016 r. (</w:t>
      </w: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RODO</w:t>
      </w:r>
      <w:r w:rsidR="003C744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)</w:t>
      </w: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oraz zasad etyki badawczej. </w:t>
      </w:r>
    </w:p>
    <w:p w14:paraId="0CF86792" w14:textId="519A39D2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Dane badawcze należy udostępniać zgodnie z międzynarodowymi wytycznymi FAIR (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Findable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Accessible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Interoperable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Reusable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) w sposób pozwalający na ich maszynowe lub manualne wyszukiwanie a także dostępność, interoperacyjność oraz ponowne ich wykorzystanie. </w:t>
      </w:r>
    </w:p>
    <w:p w14:paraId="3C23E9F6" w14:textId="74A04BF5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1F1F1F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Dane badawcze powinny być udostępniane zgodnie z zasadą “tak otwarte jak to możliwe, tak zamknięte, jak to konieczne” (</w:t>
      </w:r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 xml:space="preserve">ang. “as open as </w:t>
      </w:r>
      <w:proofErr w:type="spellStart"/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>possible</w:t>
      </w:r>
      <w:proofErr w:type="spellEnd"/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 xml:space="preserve">, as </w:t>
      </w:r>
      <w:proofErr w:type="spellStart"/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>closed</w:t>
      </w:r>
      <w:proofErr w:type="spellEnd"/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 xml:space="preserve"> as </w:t>
      </w:r>
      <w:proofErr w:type="spellStart"/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>necessary</w:t>
      </w:r>
      <w:proofErr w:type="spellEnd"/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>”)</w:t>
      </w:r>
      <w:r w:rsidR="000B4430"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>.</w:t>
      </w:r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 xml:space="preserve"> </w:t>
      </w:r>
    </w:p>
    <w:p w14:paraId="0939CAC4" w14:textId="0C75A008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1F1F1F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t xml:space="preserve">Zaleca się udostępnianie co najmniej danych będących podstawą publikacji, najpóźniej w momencie jej wydania. </w:t>
      </w:r>
    </w:p>
    <w:p w14:paraId="6257B4E4" w14:textId="224C414D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1F1F1F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1F1F1F"/>
          <w:sz w:val="22"/>
          <w:szCs w:val="22"/>
        </w:rPr>
        <w:lastRenderedPageBreak/>
        <w:t xml:space="preserve">Nie należy deponować tych samych danych badawczych w kilku repozytoriach. </w:t>
      </w:r>
    </w:p>
    <w:p w14:paraId="05BADA76" w14:textId="4B5DA0F8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Rekomenduje się udostępnianie danych badawczych na otwartych licencjach (np. Creative 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Commons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), bądź zgodnie ze wskazaniami </w:t>
      </w:r>
      <w:proofErr w:type="spellStart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grantodawców</w:t>
      </w:r>
      <w:proofErr w:type="spellEnd"/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</w:t>
      </w:r>
    </w:p>
    <w:p w14:paraId="41F2F9F4" w14:textId="150BA807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W przypadku wystąpienia ograniczeń i braku możliwości udostępnienia danych badawczych zaleca się umieszczenie w repozytorium metadanych i informacji o ograniczeniach lub możliwości pozyskania danych badawczych. </w:t>
      </w:r>
    </w:p>
    <w:p w14:paraId="7C971CBA" w14:textId="046721E0" w:rsidR="49567544" w:rsidRPr="00DA7C93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Dane badawcze udostępnia się przez okres 10 lat, w przypadku danych powstałych w wyniku projektu badawczego - od momentu rozliczenia projektu; metadane pozostają dostępne bezterminowo</w:t>
      </w:r>
      <w:r w:rsidR="000B4430"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Pr="00DA7C9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</w:p>
    <w:p w14:paraId="57375426" w14:textId="77D68F4B" w:rsidR="00D26424" w:rsidRPr="0082582D" w:rsidRDefault="49567544" w:rsidP="00595D39">
      <w:pPr>
        <w:pStyle w:val="Akapitzlist"/>
        <w:numPr>
          <w:ilvl w:val="0"/>
          <w:numId w:val="1"/>
        </w:numPr>
        <w:spacing w:after="0" w:line="360" w:lineRule="auto"/>
        <w:ind w:left="567" w:hanging="425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W przypadku zdeponowania danych badawczych w repozytorium otwartych danych innym niż Repozytorium PPM-UMW, zaleca się utworzenie rekordu referencyjnego (zawierającego jedynie metadane, bez załączonych zestawów danych) w Repozytorium PPM-UMW wybierając wariant: “Dane badawcze zdeponowane poza BW”, celem zapewnienia UMW pełnej informacji na temat lokalizacji danych badawczych</w:t>
      </w:r>
      <w:r w:rsidR="7409DAB7" w:rsidRPr="0082582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sectPr w:rsidR="00D26424" w:rsidRPr="0082582D" w:rsidSect="00DA7C93">
      <w:footerReference w:type="default" r:id="rId10"/>
      <w:pgSz w:w="11906" w:h="16838"/>
      <w:pgMar w:top="1276" w:right="1133" w:bottom="426" w:left="993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9E32" w14:textId="77777777" w:rsidR="00D90CC9" w:rsidRDefault="00D90CC9" w:rsidP="006C1E23">
      <w:pPr>
        <w:spacing w:after="0" w:line="240" w:lineRule="auto"/>
      </w:pPr>
      <w:r>
        <w:separator/>
      </w:r>
    </w:p>
  </w:endnote>
  <w:endnote w:type="continuationSeparator" w:id="0">
    <w:p w14:paraId="0851E63E" w14:textId="77777777" w:rsidR="00D90CC9" w:rsidRDefault="00D90CC9" w:rsidP="006C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757196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90E678" w14:textId="3D36561D" w:rsidR="006C1E23" w:rsidRPr="0082582D" w:rsidRDefault="006C1E23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82582D">
              <w:rPr>
                <w:rFonts w:ascii="Times New Roman" w:hAnsi="Times New Roman" w:cs="Times New Roman"/>
              </w:rPr>
              <w:t xml:space="preserve">Strona </w:t>
            </w:r>
            <w:r w:rsidRPr="0082582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2582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2582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C426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2582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2582D">
              <w:rPr>
                <w:rFonts w:ascii="Times New Roman" w:hAnsi="Times New Roman" w:cs="Times New Roman"/>
              </w:rPr>
              <w:t xml:space="preserve"> z </w:t>
            </w:r>
            <w:r w:rsidRPr="0082582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2582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2582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C4262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82582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F675382" w14:textId="77777777" w:rsidR="006C1E23" w:rsidRDefault="006C1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84A53" w14:textId="77777777" w:rsidR="00D90CC9" w:rsidRDefault="00D90CC9" w:rsidP="006C1E23">
      <w:pPr>
        <w:spacing w:after="0" w:line="240" w:lineRule="auto"/>
      </w:pPr>
      <w:r>
        <w:separator/>
      </w:r>
    </w:p>
  </w:footnote>
  <w:footnote w:type="continuationSeparator" w:id="0">
    <w:p w14:paraId="2F321B54" w14:textId="77777777" w:rsidR="00D90CC9" w:rsidRDefault="00D90CC9" w:rsidP="006C1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58D6"/>
    <w:multiLevelType w:val="hybridMultilevel"/>
    <w:tmpl w:val="A508D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75480"/>
    <w:multiLevelType w:val="hybridMultilevel"/>
    <w:tmpl w:val="2CFC3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3BA5"/>
    <w:multiLevelType w:val="hybridMultilevel"/>
    <w:tmpl w:val="DD80FAE4"/>
    <w:lvl w:ilvl="0" w:tplc="BC743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FFE1F"/>
    <w:multiLevelType w:val="hybridMultilevel"/>
    <w:tmpl w:val="9F806F8C"/>
    <w:lvl w:ilvl="0" w:tplc="C7E8B04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8A344D16">
      <w:start w:val="1"/>
      <w:numFmt w:val="lowerLetter"/>
      <w:lvlText w:val="%2."/>
      <w:lvlJc w:val="left"/>
      <w:pPr>
        <w:ind w:left="1440" w:hanging="360"/>
      </w:pPr>
    </w:lvl>
    <w:lvl w:ilvl="2" w:tplc="92820BC0">
      <w:start w:val="1"/>
      <w:numFmt w:val="lowerRoman"/>
      <w:lvlText w:val="%3."/>
      <w:lvlJc w:val="right"/>
      <w:pPr>
        <w:ind w:left="2160" w:hanging="180"/>
      </w:pPr>
    </w:lvl>
    <w:lvl w:ilvl="3" w:tplc="34109750">
      <w:start w:val="1"/>
      <w:numFmt w:val="decimal"/>
      <w:lvlText w:val="%4."/>
      <w:lvlJc w:val="left"/>
      <w:pPr>
        <w:ind w:left="2880" w:hanging="360"/>
      </w:pPr>
    </w:lvl>
    <w:lvl w:ilvl="4" w:tplc="644C0FCA">
      <w:start w:val="1"/>
      <w:numFmt w:val="lowerLetter"/>
      <w:lvlText w:val="%5."/>
      <w:lvlJc w:val="left"/>
      <w:pPr>
        <w:ind w:left="3600" w:hanging="360"/>
      </w:pPr>
    </w:lvl>
    <w:lvl w:ilvl="5" w:tplc="3B0822C0">
      <w:start w:val="1"/>
      <w:numFmt w:val="lowerRoman"/>
      <w:lvlText w:val="%6."/>
      <w:lvlJc w:val="right"/>
      <w:pPr>
        <w:ind w:left="4320" w:hanging="180"/>
      </w:pPr>
    </w:lvl>
    <w:lvl w:ilvl="6" w:tplc="862226FE">
      <w:start w:val="1"/>
      <w:numFmt w:val="decimal"/>
      <w:lvlText w:val="%7."/>
      <w:lvlJc w:val="left"/>
      <w:pPr>
        <w:ind w:left="5040" w:hanging="360"/>
      </w:pPr>
    </w:lvl>
    <w:lvl w:ilvl="7" w:tplc="4E488768">
      <w:start w:val="1"/>
      <w:numFmt w:val="lowerLetter"/>
      <w:lvlText w:val="%8."/>
      <w:lvlJc w:val="left"/>
      <w:pPr>
        <w:ind w:left="5760" w:hanging="360"/>
      </w:pPr>
    </w:lvl>
    <w:lvl w:ilvl="8" w:tplc="1E38C5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5230"/>
    <w:multiLevelType w:val="hybridMultilevel"/>
    <w:tmpl w:val="8D0CB1CE"/>
    <w:lvl w:ilvl="0" w:tplc="BC743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FD1677"/>
    <w:rsid w:val="000448EF"/>
    <w:rsid w:val="000B4430"/>
    <w:rsid w:val="000F6800"/>
    <w:rsid w:val="000F7649"/>
    <w:rsid w:val="002C2279"/>
    <w:rsid w:val="003C744B"/>
    <w:rsid w:val="00400647"/>
    <w:rsid w:val="00491727"/>
    <w:rsid w:val="004B6D6D"/>
    <w:rsid w:val="00504865"/>
    <w:rsid w:val="00512975"/>
    <w:rsid w:val="00536407"/>
    <w:rsid w:val="00544670"/>
    <w:rsid w:val="00563C0E"/>
    <w:rsid w:val="00595D39"/>
    <w:rsid w:val="005E02F9"/>
    <w:rsid w:val="006021F5"/>
    <w:rsid w:val="006217A5"/>
    <w:rsid w:val="006312CB"/>
    <w:rsid w:val="0065037A"/>
    <w:rsid w:val="006C1E23"/>
    <w:rsid w:val="007009C2"/>
    <w:rsid w:val="00773084"/>
    <w:rsid w:val="00790A6F"/>
    <w:rsid w:val="0082582D"/>
    <w:rsid w:val="00866F0D"/>
    <w:rsid w:val="008E2A57"/>
    <w:rsid w:val="009462A3"/>
    <w:rsid w:val="009F0F15"/>
    <w:rsid w:val="00A2776D"/>
    <w:rsid w:val="00AA47F9"/>
    <w:rsid w:val="00AA63D2"/>
    <w:rsid w:val="00AB1716"/>
    <w:rsid w:val="00AD7F97"/>
    <w:rsid w:val="00B4285F"/>
    <w:rsid w:val="00B631DF"/>
    <w:rsid w:val="00BC3A24"/>
    <w:rsid w:val="00BD1FCF"/>
    <w:rsid w:val="00C05EA7"/>
    <w:rsid w:val="00C67C9C"/>
    <w:rsid w:val="00D26424"/>
    <w:rsid w:val="00D45840"/>
    <w:rsid w:val="00D90CC9"/>
    <w:rsid w:val="00DA7C93"/>
    <w:rsid w:val="00DD277F"/>
    <w:rsid w:val="00E33BB4"/>
    <w:rsid w:val="00E424F2"/>
    <w:rsid w:val="00EB5611"/>
    <w:rsid w:val="00EC4262"/>
    <w:rsid w:val="00F27F83"/>
    <w:rsid w:val="00F45654"/>
    <w:rsid w:val="00F7564C"/>
    <w:rsid w:val="00F76CDC"/>
    <w:rsid w:val="049D1823"/>
    <w:rsid w:val="0567A596"/>
    <w:rsid w:val="0A13530E"/>
    <w:rsid w:val="0A491EE5"/>
    <w:rsid w:val="0B138292"/>
    <w:rsid w:val="0BF14554"/>
    <w:rsid w:val="12C6437F"/>
    <w:rsid w:val="165A2936"/>
    <w:rsid w:val="1A75D943"/>
    <w:rsid w:val="247A311A"/>
    <w:rsid w:val="25076EAB"/>
    <w:rsid w:val="2646772B"/>
    <w:rsid w:val="317D434F"/>
    <w:rsid w:val="34AB9C88"/>
    <w:rsid w:val="3732A15C"/>
    <w:rsid w:val="3ABF81BF"/>
    <w:rsid w:val="3C03BDF5"/>
    <w:rsid w:val="3D4CCF33"/>
    <w:rsid w:val="441DE124"/>
    <w:rsid w:val="46B11C30"/>
    <w:rsid w:val="4918D029"/>
    <w:rsid w:val="49567544"/>
    <w:rsid w:val="5149A23D"/>
    <w:rsid w:val="53B2C1BA"/>
    <w:rsid w:val="544FFE06"/>
    <w:rsid w:val="564B3BFB"/>
    <w:rsid w:val="58D09334"/>
    <w:rsid w:val="61E34B2B"/>
    <w:rsid w:val="6A4D1BEB"/>
    <w:rsid w:val="6B1A9720"/>
    <w:rsid w:val="6C923F6B"/>
    <w:rsid w:val="6CFD1677"/>
    <w:rsid w:val="6D72301C"/>
    <w:rsid w:val="6F013A67"/>
    <w:rsid w:val="6F1936F1"/>
    <w:rsid w:val="7409DAB7"/>
    <w:rsid w:val="74CB55BA"/>
    <w:rsid w:val="74D3785F"/>
    <w:rsid w:val="77F591ED"/>
    <w:rsid w:val="788912A5"/>
    <w:rsid w:val="7C28997B"/>
    <w:rsid w:val="7C68FC9F"/>
    <w:rsid w:val="7D036AD3"/>
    <w:rsid w:val="7DEDD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D1677"/>
  <w15:chartTrackingRefBased/>
  <w15:docId w15:val="{DEF2FA48-E9A5-4069-A700-6B21644D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E23"/>
  </w:style>
  <w:style w:type="paragraph" w:styleId="Stopka">
    <w:name w:val="footer"/>
    <w:basedOn w:val="Normalny"/>
    <w:link w:val="StopkaZnak"/>
    <w:uiPriority w:val="99"/>
    <w:unhideWhenUsed/>
    <w:rsid w:val="006C1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E23"/>
  </w:style>
  <w:style w:type="paragraph" w:styleId="Akapitzlist">
    <w:name w:val="List Paragraph"/>
    <w:basedOn w:val="Normalny"/>
    <w:uiPriority w:val="34"/>
    <w:qFormat/>
    <w:rsid w:val="00C67C9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05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D3D4667E74E84896649FBA2EB07568" ma:contentTypeVersion="14" ma:contentTypeDescription="Utwórz nowy dokument." ma:contentTypeScope="" ma:versionID="29adfc455c5d096774efa347267fd2f0">
  <xsd:schema xmlns:xsd="http://www.w3.org/2001/XMLSchema" xmlns:xs="http://www.w3.org/2001/XMLSchema" xmlns:p="http://schemas.microsoft.com/office/2006/metadata/properties" xmlns:ns2="145d31c2-fea8-49d6-af92-d55cfd044772" xmlns:ns3="27ac9925-9882-49b7-b96a-25edd61f2f0b" targetNamespace="http://schemas.microsoft.com/office/2006/metadata/properties" ma:root="true" ma:fieldsID="120520ca238c52d8119b768eee77e5d6" ns2:_="" ns3:_="">
    <xsd:import namespace="145d31c2-fea8-49d6-af92-d55cfd044772"/>
    <xsd:import namespace="27ac9925-9882-49b7-b96a-25edd61f2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31c2-fea8-49d6-af92-d55cfd044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c9925-9882-49b7-b96a-25edd61f2f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689fbc-2878-4910-8bd7-92b17ef91915}" ma:internalName="TaxCatchAll" ma:showField="CatchAllData" ma:web="27ac9925-9882-49b7-b96a-25edd61f2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d31c2-fea8-49d6-af92-d55cfd044772">
      <Terms xmlns="http://schemas.microsoft.com/office/infopath/2007/PartnerControls"/>
    </lcf76f155ced4ddcb4097134ff3c332f>
    <TaxCatchAll xmlns="27ac9925-9882-49b7-b96a-25edd61f2f0b" xsi:nil="true"/>
  </documentManagement>
</p:properties>
</file>

<file path=customXml/itemProps1.xml><?xml version="1.0" encoding="utf-8"?>
<ds:datastoreItem xmlns:ds="http://schemas.openxmlformats.org/officeDocument/2006/customXml" ds:itemID="{D2116D11-17C8-42F0-BEB5-7DBF3C6BA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38EDB-DEB3-4F18-9884-DD015FAF0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d31c2-fea8-49d6-af92-d55cfd044772"/>
    <ds:schemaRef ds:uri="27ac9925-9882-49b7-b96a-25edd61f2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D1274-148B-41BD-BB04-D686F063534D}">
  <ds:schemaRefs>
    <ds:schemaRef ds:uri="http://schemas.microsoft.com/office/2006/metadata/properties"/>
    <ds:schemaRef ds:uri="http://schemas.microsoft.com/office/infopath/2007/PartnerControls"/>
    <ds:schemaRef ds:uri="145d31c2-fea8-49d6-af92-d55cfd044772"/>
    <ds:schemaRef ds:uri="27ac9925-9882-49b7-b96a-25edd61f2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5/XVI R/2026</dc:title>
  <dc:subject/>
  <dc:creator>Centrum Jakości Nauki i Ewaluacji</dc:creator>
  <cp:keywords>polityka publikacji</cp:keywords>
  <dc:description/>
  <cp:lastModifiedBy>MKapera</cp:lastModifiedBy>
  <cp:revision>4</cp:revision>
  <dcterms:created xsi:type="dcterms:W3CDTF">2026-01-21T13:09:00Z</dcterms:created>
  <dcterms:modified xsi:type="dcterms:W3CDTF">2026-01-21T14:05:00Z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0x0101007DD3D4667E74E84896649FBA2EB07568</vt:lpwstr>
  </property>
</Properties>
</file>