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AF167" w14:textId="77777777" w:rsidR="00024D38" w:rsidRPr="0049380B" w:rsidRDefault="00024D38" w:rsidP="00024D38">
      <w:pPr>
        <w:keepNext/>
        <w:tabs>
          <w:tab w:val="left" w:pos="0"/>
        </w:tabs>
        <w:spacing w:after="0" w:line="240" w:lineRule="auto"/>
        <w:ind w:left="6379" w:hanging="1559"/>
        <w:jc w:val="both"/>
        <w:outlineLvl w:val="0"/>
        <w:rPr>
          <w:rFonts w:ascii="Times New Roman" w:eastAsia="Times New Roman" w:hAnsi="Times New Roman" w:cs="Times New Roman"/>
          <w:bCs/>
          <w:sz w:val="16"/>
          <w:szCs w:val="16"/>
          <w:lang w:eastAsia="ar-SA"/>
        </w:rPr>
      </w:pPr>
      <w:bookmarkStart w:id="0" w:name="_Hlk158036881"/>
      <w:bookmarkStart w:id="1" w:name="_GoBack"/>
      <w:bookmarkEnd w:id="1"/>
      <w:r w:rsidRPr="0049380B">
        <w:rPr>
          <w:rFonts w:ascii="Times New Roman" w:eastAsia="Times New Roman" w:hAnsi="Times New Roman" w:cs="Times New Roman"/>
          <w:bCs/>
          <w:sz w:val="16"/>
          <w:szCs w:val="16"/>
          <w:lang w:eastAsia="ar-SA"/>
        </w:rPr>
        <w:t>Załącznik nr 1</w:t>
      </w:r>
    </w:p>
    <w:p w14:paraId="5F5BCDB7" w14:textId="383D439A" w:rsidR="00024D38" w:rsidRPr="00024D38" w:rsidRDefault="00024D38" w:rsidP="00024D38">
      <w:pPr>
        <w:spacing w:after="0" w:line="240" w:lineRule="auto"/>
        <w:ind w:left="4820"/>
        <w:jc w:val="both"/>
        <w:rPr>
          <w:rFonts w:ascii="Times New Roman" w:eastAsia="Times New Roman" w:hAnsi="Times New Roman" w:cs="Times New Roman"/>
          <w:sz w:val="16"/>
          <w:szCs w:val="16"/>
          <w:lang w:eastAsia="ar-SA"/>
        </w:rPr>
      </w:pPr>
      <w:r w:rsidRPr="0049380B">
        <w:rPr>
          <w:rFonts w:ascii="Times New Roman" w:eastAsia="Times New Roman" w:hAnsi="Times New Roman" w:cs="Times New Roman"/>
          <w:sz w:val="16"/>
          <w:szCs w:val="16"/>
          <w:lang w:eastAsia="ar-SA"/>
        </w:rPr>
        <w:t xml:space="preserve">do „REGULAMINU UDZIELANIA ZAMÓWIEŃ PUBLICZNYCH W UNIWERSYTECIE MEDYCZNYM WE </w:t>
      </w:r>
      <w:r w:rsidRPr="0049380B">
        <w:rPr>
          <w:rFonts w:ascii="Times New Roman" w:eastAsia="Times New Roman" w:hAnsi="Times New Roman" w:cs="Times New Roman"/>
          <w:sz w:val="16"/>
          <w:szCs w:val="16"/>
          <w:lang w:eastAsia="ar-SA"/>
        </w:rPr>
        <w:br/>
        <w:t xml:space="preserve">WROCŁAWIU z wyłączeniem stosowania przepisów Ustawy </w:t>
      </w:r>
      <w:r w:rsidRPr="0049380B">
        <w:rPr>
          <w:rFonts w:ascii="Times New Roman" w:eastAsia="Times New Roman" w:hAnsi="Times New Roman" w:cs="Times New Roman"/>
          <w:sz w:val="16"/>
          <w:szCs w:val="16"/>
          <w:lang w:eastAsia="ar-SA"/>
        </w:rPr>
        <w:br/>
        <w:t>z dnia 11 września 2019 r. Prawo zamówień publicznych (Dz. U. z 2024 r., poz. 1320</w:t>
      </w:r>
      <w:r w:rsidR="00B27E64" w:rsidRPr="0049380B">
        <w:rPr>
          <w:rFonts w:ascii="Times New Roman" w:eastAsia="Times New Roman" w:hAnsi="Times New Roman" w:cs="Times New Roman"/>
          <w:sz w:val="16"/>
          <w:szCs w:val="16"/>
          <w:lang w:eastAsia="ar-SA"/>
        </w:rPr>
        <w:t xml:space="preserve">, z </w:t>
      </w:r>
      <w:proofErr w:type="spellStart"/>
      <w:r w:rsidR="00B27E64" w:rsidRPr="0049380B">
        <w:rPr>
          <w:rFonts w:ascii="Times New Roman" w:eastAsia="Times New Roman" w:hAnsi="Times New Roman" w:cs="Times New Roman"/>
          <w:sz w:val="16"/>
          <w:szCs w:val="16"/>
          <w:lang w:eastAsia="ar-SA"/>
        </w:rPr>
        <w:t>późn</w:t>
      </w:r>
      <w:proofErr w:type="spellEnd"/>
      <w:r w:rsidR="00B27E64" w:rsidRPr="0049380B">
        <w:rPr>
          <w:rFonts w:ascii="Times New Roman" w:eastAsia="Times New Roman" w:hAnsi="Times New Roman" w:cs="Times New Roman"/>
          <w:sz w:val="16"/>
          <w:szCs w:val="16"/>
          <w:lang w:eastAsia="ar-SA"/>
        </w:rPr>
        <w:t>. zm.</w:t>
      </w:r>
      <w:r w:rsidRPr="0049380B">
        <w:rPr>
          <w:rFonts w:ascii="Times New Roman" w:eastAsia="Times New Roman" w:hAnsi="Times New Roman" w:cs="Times New Roman"/>
          <w:sz w:val="16"/>
          <w:szCs w:val="16"/>
          <w:lang w:eastAsia="ar-SA"/>
        </w:rPr>
        <w:t>), o którym mowa w art. 11 ust. 5 pkt 1 tej ustawy”</w:t>
      </w:r>
    </w:p>
    <w:bookmarkEnd w:id="0"/>
    <w:p w14:paraId="3A1E0A9B" w14:textId="77777777" w:rsidR="00024D38" w:rsidRDefault="00024D38" w:rsidP="00A33373">
      <w:pPr>
        <w:jc w:val="right"/>
        <w:rPr>
          <w:rFonts w:ascii="Times New Roman" w:hAnsi="Times New Roman" w:cs="Times New Roman"/>
          <w:i/>
        </w:rPr>
      </w:pPr>
    </w:p>
    <w:p w14:paraId="07B8A5E4" w14:textId="61B00E36" w:rsidR="00A33373" w:rsidRPr="00911D28" w:rsidRDefault="00A33373" w:rsidP="00A33373">
      <w:pPr>
        <w:jc w:val="right"/>
        <w:rPr>
          <w:rFonts w:ascii="Times New Roman" w:hAnsi="Times New Roman" w:cs="Times New Roman"/>
          <w:i/>
        </w:rPr>
      </w:pPr>
      <w:r w:rsidRPr="00911D28">
        <w:rPr>
          <w:rFonts w:ascii="Times New Roman" w:hAnsi="Times New Roman" w:cs="Times New Roman"/>
          <w:i/>
        </w:rPr>
        <w:t xml:space="preserve">Wrocław, </w:t>
      </w:r>
      <w:r w:rsidR="00F763BD">
        <w:rPr>
          <w:rFonts w:ascii="Times New Roman" w:hAnsi="Times New Roman" w:cs="Times New Roman"/>
          <w:i/>
        </w:rPr>
        <w:t>…………………</w:t>
      </w:r>
      <w:r w:rsidRPr="00911D28">
        <w:rPr>
          <w:rFonts w:ascii="Times New Roman" w:hAnsi="Times New Roman" w:cs="Times New Roman"/>
          <w:i/>
        </w:rPr>
        <w:t xml:space="preserve"> r.</w:t>
      </w:r>
    </w:p>
    <w:p w14:paraId="51C0C856" w14:textId="77777777" w:rsidR="00A33373" w:rsidRPr="00911D28" w:rsidRDefault="00911D28" w:rsidP="00A33373">
      <w:pPr>
        <w:rPr>
          <w:rFonts w:ascii="Times New Roman" w:hAnsi="Times New Roman" w:cs="Times New Roman"/>
          <w:i/>
        </w:rPr>
      </w:pPr>
      <w:r w:rsidRPr="00911D28">
        <w:rPr>
          <w:rFonts w:ascii="Times New Roman" w:hAnsi="Times New Roman" w:cs="Times New Roman"/>
          <w:i/>
        </w:rPr>
        <w:t>………………………………….</w:t>
      </w:r>
    </w:p>
    <w:p w14:paraId="6BD26108" w14:textId="77777777" w:rsidR="00A33373" w:rsidRPr="00911D28" w:rsidRDefault="00911D28" w:rsidP="00A33373">
      <w:pPr>
        <w:rPr>
          <w:rFonts w:ascii="Times New Roman" w:hAnsi="Times New Roman" w:cs="Times New Roman"/>
          <w:i/>
        </w:rPr>
      </w:pPr>
      <w:r w:rsidRPr="00911D28">
        <w:rPr>
          <w:rFonts w:ascii="Times New Roman" w:hAnsi="Times New Roman" w:cs="Times New Roman"/>
          <w:i/>
        </w:rPr>
        <w:t>Nazwa i adres jednostki</w:t>
      </w:r>
    </w:p>
    <w:p w14:paraId="6A77B20F" w14:textId="77777777" w:rsidR="00A33373" w:rsidRPr="00911D28" w:rsidRDefault="00A33373" w:rsidP="00A33373">
      <w:pPr>
        <w:jc w:val="both"/>
        <w:rPr>
          <w:rFonts w:ascii="Times New Roman" w:hAnsi="Times New Roman" w:cs="Times New Roman"/>
          <w:i/>
        </w:rPr>
      </w:pPr>
    </w:p>
    <w:p w14:paraId="0CF6E562" w14:textId="77777777" w:rsidR="00A33373" w:rsidRPr="00911D28" w:rsidRDefault="0081624B" w:rsidP="00A33373">
      <w:pPr>
        <w:pStyle w:val="Akapitzlist"/>
        <w:ind w:left="284"/>
        <w:jc w:val="center"/>
        <w:rPr>
          <w:rFonts w:ascii="Times New Roman" w:hAnsi="Times New Roman" w:cs="Times New Roman"/>
          <w:b/>
          <w:i/>
        </w:rPr>
      </w:pPr>
      <w:r w:rsidRPr="00911D28">
        <w:rPr>
          <w:rFonts w:ascii="Times New Roman" w:hAnsi="Times New Roman" w:cs="Times New Roman"/>
          <w:b/>
          <w:i/>
        </w:rPr>
        <w:t>Oświadczenie</w:t>
      </w:r>
    </w:p>
    <w:p w14:paraId="76CAA4B5" w14:textId="77777777" w:rsidR="00A33373" w:rsidRPr="00911D28" w:rsidRDefault="00A33373" w:rsidP="00A33373">
      <w:pPr>
        <w:pStyle w:val="Akapitzlist"/>
        <w:ind w:left="284"/>
        <w:jc w:val="center"/>
        <w:rPr>
          <w:rFonts w:ascii="Times New Roman" w:hAnsi="Times New Roman" w:cs="Times New Roman"/>
          <w:b/>
          <w:i/>
        </w:rPr>
      </w:pPr>
    </w:p>
    <w:p w14:paraId="571DB83A" w14:textId="77777777" w:rsidR="00111976" w:rsidRDefault="00A33373" w:rsidP="00F763BD">
      <w:pPr>
        <w:pStyle w:val="Akapitzlist"/>
        <w:spacing w:line="360" w:lineRule="auto"/>
        <w:ind w:left="284"/>
        <w:jc w:val="both"/>
        <w:rPr>
          <w:rFonts w:ascii="Times New Roman" w:hAnsi="Times New Roman" w:cs="Times New Roman"/>
          <w:color w:val="000000"/>
        </w:rPr>
      </w:pPr>
      <w:r w:rsidRPr="00911D28">
        <w:rPr>
          <w:rFonts w:ascii="Times New Roman" w:hAnsi="Times New Roman" w:cs="Times New Roman"/>
        </w:rPr>
        <w:t>Niniejszym oświadczam</w:t>
      </w:r>
      <w:r w:rsidR="00E52803" w:rsidRPr="00911D28">
        <w:rPr>
          <w:rFonts w:ascii="Times New Roman" w:hAnsi="Times New Roman" w:cs="Times New Roman"/>
        </w:rPr>
        <w:t>, że</w:t>
      </w:r>
      <w:r w:rsidR="00E52803" w:rsidRPr="00911D28">
        <w:rPr>
          <w:rFonts w:ascii="Times New Roman" w:hAnsi="Times New Roman" w:cs="Times New Roman"/>
          <w:color w:val="000000"/>
        </w:rPr>
        <w:t xml:space="preserve"> </w:t>
      </w:r>
      <w:r w:rsidR="0081624B" w:rsidRPr="00911D28">
        <w:rPr>
          <w:rFonts w:ascii="Times New Roman" w:hAnsi="Times New Roman" w:cs="Times New Roman"/>
          <w:color w:val="000000"/>
        </w:rPr>
        <w:t>następujące dostawy/usługi</w:t>
      </w:r>
      <w:r w:rsidR="00615C4E">
        <w:rPr>
          <w:rFonts w:ascii="Times New Roman" w:hAnsi="Times New Roman" w:cs="Times New Roman"/>
          <w:color w:val="000000"/>
        </w:rPr>
        <w:t xml:space="preserve"> </w:t>
      </w:r>
      <w:r w:rsidR="00615C4E" w:rsidRPr="003A29D2">
        <w:rPr>
          <w:rFonts w:ascii="Times New Roman" w:hAnsi="Times New Roman" w:cs="Times New Roman"/>
          <w:i/>
          <w:sz w:val="20"/>
          <w:szCs w:val="20"/>
        </w:rPr>
        <w:t>(niewłaściwe skreślić)</w:t>
      </w:r>
      <w:r w:rsidR="00615C4E" w:rsidRPr="003A29D2">
        <w:rPr>
          <w:rFonts w:ascii="Times New Roman" w:hAnsi="Times New Roman" w:cs="Times New Roman"/>
          <w:b/>
          <w:sz w:val="20"/>
          <w:szCs w:val="20"/>
        </w:rPr>
        <w:t xml:space="preserve"> </w:t>
      </w:r>
      <w:r w:rsidR="00911D28" w:rsidRPr="00911D28">
        <w:rPr>
          <w:rFonts w:ascii="Times New Roman" w:hAnsi="Times New Roman" w:cs="Times New Roman"/>
          <w:color w:val="000000"/>
        </w:rPr>
        <w:t xml:space="preserve"> ………………</w:t>
      </w:r>
      <w:r w:rsidR="0081624B" w:rsidRPr="00911D28">
        <w:rPr>
          <w:rFonts w:ascii="Times New Roman" w:hAnsi="Times New Roman" w:cs="Times New Roman"/>
          <w:color w:val="000000"/>
        </w:rPr>
        <w:t>………………………………………</w:t>
      </w:r>
      <w:r w:rsidR="00111976">
        <w:rPr>
          <w:rFonts w:ascii="Times New Roman" w:hAnsi="Times New Roman" w:cs="Times New Roman"/>
          <w:color w:val="000000"/>
        </w:rPr>
        <w:t>……………………………………………………………………………………………………………………………………………………………………………………………………………………………………………………………….</w:t>
      </w:r>
      <w:r w:rsidR="0081624B" w:rsidRPr="00911D28">
        <w:rPr>
          <w:rFonts w:ascii="Times New Roman" w:hAnsi="Times New Roman" w:cs="Times New Roman"/>
          <w:color w:val="000000"/>
        </w:rPr>
        <w:t xml:space="preserve"> </w:t>
      </w:r>
      <w:r w:rsidR="00691C33" w:rsidRPr="001A0BEE">
        <w:rPr>
          <w:rFonts w:ascii="Times New Roman" w:hAnsi="Times New Roman" w:cs="Times New Roman"/>
          <w:i/>
          <w:color w:val="000000"/>
          <w:sz w:val="20"/>
          <w:szCs w:val="20"/>
        </w:rPr>
        <w:t>(</w:t>
      </w:r>
      <w:r w:rsidR="00911D28" w:rsidRPr="001A0BEE">
        <w:rPr>
          <w:rFonts w:ascii="Times New Roman" w:hAnsi="Times New Roman" w:cs="Times New Roman"/>
          <w:i/>
          <w:color w:val="000000"/>
          <w:sz w:val="20"/>
          <w:szCs w:val="20"/>
        </w:rPr>
        <w:t xml:space="preserve">proszę </w:t>
      </w:r>
      <w:r w:rsidR="00691C33" w:rsidRPr="001A0BEE">
        <w:rPr>
          <w:rFonts w:ascii="Times New Roman" w:hAnsi="Times New Roman" w:cs="Times New Roman"/>
          <w:i/>
          <w:color w:val="000000"/>
          <w:sz w:val="20"/>
          <w:szCs w:val="20"/>
        </w:rPr>
        <w:t>podać)</w:t>
      </w:r>
      <w:r w:rsidR="00691C33" w:rsidRPr="00911D28">
        <w:rPr>
          <w:rFonts w:ascii="Times New Roman" w:hAnsi="Times New Roman" w:cs="Times New Roman"/>
          <w:color w:val="000000"/>
        </w:rPr>
        <w:t xml:space="preserve"> </w:t>
      </w:r>
    </w:p>
    <w:p w14:paraId="2A31684E" w14:textId="30A85373" w:rsidR="00111976" w:rsidRDefault="0081624B" w:rsidP="00F763BD">
      <w:pPr>
        <w:pStyle w:val="Akapitzlist"/>
        <w:spacing w:line="360" w:lineRule="auto"/>
        <w:ind w:left="284"/>
        <w:jc w:val="both"/>
        <w:rPr>
          <w:rFonts w:ascii="Times New Roman" w:hAnsi="Times New Roman" w:cs="Times New Roman"/>
          <w:b/>
        </w:rPr>
      </w:pPr>
      <w:r w:rsidRPr="00911D28">
        <w:rPr>
          <w:rFonts w:ascii="Times New Roman" w:hAnsi="Times New Roman" w:cs="Times New Roman"/>
          <w:color w:val="000000"/>
        </w:rPr>
        <w:t xml:space="preserve">zamawiane </w:t>
      </w:r>
      <w:r w:rsidR="00E52803" w:rsidRPr="00911D28">
        <w:rPr>
          <w:rFonts w:ascii="Times New Roman" w:hAnsi="Times New Roman" w:cs="Times New Roman"/>
          <w:color w:val="000000"/>
        </w:rPr>
        <w:t xml:space="preserve">w ramach </w:t>
      </w:r>
      <w:r w:rsidRPr="00911D28">
        <w:rPr>
          <w:rFonts w:ascii="Times New Roman" w:hAnsi="Times New Roman" w:cs="Times New Roman"/>
          <w:color w:val="000000"/>
        </w:rPr>
        <w:t>projektu/</w:t>
      </w:r>
      <w:r w:rsidR="00E52803" w:rsidRPr="00911D28">
        <w:rPr>
          <w:rFonts w:ascii="Times New Roman" w:hAnsi="Times New Roman" w:cs="Times New Roman"/>
          <w:color w:val="000000"/>
        </w:rPr>
        <w:t>subwencji</w:t>
      </w:r>
      <w:r w:rsidR="00911D28">
        <w:rPr>
          <w:rFonts w:ascii="Times New Roman" w:hAnsi="Times New Roman" w:cs="Times New Roman"/>
          <w:color w:val="000000"/>
        </w:rPr>
        <w:t xml:space="preserve"> ………</w:t>
      </w:r>
      <w:r w:rsidRPr="00911D28">
        <w:rPr>
          <w:rFonts w:ascii="Times New Roman" w:hAnsi="Times New Roman" w:cs="Times New Roman"/>
          <w:color w:val="000000"/>
        </w:rPr>
        <w:t>……………………………</w:t>
      </w:r>
      <w:r w:rsidR="00111976">
        <w:rPr>
          <w:rFonts w:ascii="Times New Roman" w:hAnsi="Times New Roman" w:cs="Times New Roman"/>
          <w:color w:val="000000"/>
        </w:rPr>
        <w:t>…………………………………………………………………………………………………………………………………………………………………………...</w:t>
      </w:r>
      <w:r w:rsidRPr="00911D28">
        <w:rPr>
          <w:rFonts w:ascii="Times New Roman" w:hAnsi="Times New Roman" w:cs="Times New Roman"/>
          <w:color w:val="000000"/>
        </w:rPr>
        <w:t xml:space="preserve"> </w:t>
      </w:r>
      <w:r w:rsidRPr="001A0BEE">
        <w:rPr>
          <w:rFonts w:ascii="Times New Roman" w:hAnsi="Times New Roman" w:cs="Times New Roman"/>
          <w:i/>
          <w:color w:val="000000"/>
          <w:sz w:val="20"/>
          <w:szCs w:val="20"/>
        </w:rPr>
        <w:t>(</w:t>
      </w:r>
      <w:r w:rsidR="00911D28" w:rsidRPr="001A0BEE">
        <w:rPr>
          <w:rFonts w:ascii="Times New Roman" w:hAnsi="Times New Roman" w:cs="Times New Roman"/>
          <w:i/>
          <w:color w:val="000000"/>
          <w:sz w:val="20"/>
          <w:szCs w:val="20"/>
        </w:rPr>
        <w:t xml:space="preserve">proszę </w:t>
      </w:r>
      <w:r w:rsidRPr="001A0BEE">
        <w:rPr>
          <w:rFonts w:ascii="Times New Roman" w:hAnsi="Times New Roman" w:cs="Times New Roman"/>
          <w:i/>
          <w:color w:val="000000"/>
          <w:sz w:val="20"/>
          <w:szCs w:val="20"/>
        </w:rPr>
        <w:t>podać)</w:t>
      </w:r>
      <w:r w:rsidR="00E52803" w:rsidRPr="00911D28">
        <w:rPr>
          <w:rFonts w:ascii="Times New Roman" w:hAnsi="Times New Roman" w:cs="Times New Roman"/>
          <w:b/>
        </w:rPr>
        <w:t xml:space="preserve">, </w:t>
      </w:r>
    </w:p>
    <w:p w14:paraId="447B4D01" w14:textId="77777777" w:rsidR="00691C33" w:rsidRPr="00911D28" w:rsidRDefault="00691C33" w:rsidP="00F763BD">
      <w:pPr>
        <w:pStyle w:val="Akapitzlist"/>
        <w:spacing w:line="360" w:lineRule="auto"/>
        <w:ind w:left="284"/>
        <w:jc w:val="both"/>
        <w:rPr>
          <w:rFonts w:ascii="Times New Roman" w:hAnsi="Times New Roman" w:cs="Times New Roman"/>
        </w:rPr>
      </w:pPr>
      <w:r w:rsidRPr="00911D28">
        <w:rPr>
          <w:rFonts w:ascii="Times New Roman" w:hAnsi="Times New Roman" w:cs="Times New Roman"/>
        </w:rPr>
        <w:t>służą wyłącznie do celów prac</w:t>
      </w:r>
      <w:r w:rsidR="00911D28">
        <w:rPr>
          <w:rFonts w:ascii="Times New Roman" w:hAnsi="Times New Roman" w:cs="Times New Roman"/>
        </w:rPr>
        <w:t>:</w:t>
      </w:r>
      <w:r w:rsidRPr="00911D28">
        <w:rPr>
          <w:rFonts w:ascii="Times New Roman" w:hAnsi="Times New Roman" w:cs="Times New Roman"/>
        </w:rPr>
        <w:t xml:space="preserve"> </w:t>
      </w:r>
    </w:p>
    <w:p w14:paraId="494602F1" w14:textId="77777777" w:rsidR="00691C33" w:rsidRPr="00911D28" w:rsidRDefault="001A0BEE" w:rsidP="00691C33">
      <w:pPr>
        <w:pStyle w:val="Akapitzlist"/>
        <w:numPr>
          <w:ilvl w:val="0"/>
          <w:numId w:val="2"/>
        </w:numPr>
        <w:spacing w:line="360" w:lineRule="auto"/>
        <w:jc w:val="both"/>
        <w:rPr>
          <w:rFonts w:ascii="Times New Roman" w:hAnsi="Times New Roman" w:cs="Times New Roman"/>
        </w:rPr>
      </w:pPr>
      <w:r>
        <w:rPr>
          <w:rFonts w:ascii="Times New Roman" w:hAnsi="Times New Roman" w:cs="Times New Roman"/>
        </w:rPr>
        <w:t>badawczych,*</w:t>
      </w:r>
    </w:p>
    <w:p w14:paraId="1DEBC0C1" w14:textId="77777777" w:rsidR="00691C33" w:rsidRPr="00911D28" w:rsidRDefault="00691C33" w:rsidP="00691C33">
      <w:pPr>
        <w:pStyle w:val="Akapitzlist"/>
        <w:numPr>
          <w:ilvl w:val="0"/>
          <w:numId w:val="2"/>
        </w:numPr>
        <w:spacing w:line="360" w:lineRule="auto"/>
        <w:jc w:val="both"/>
        <w:rPr>
          <w:rFonts w:ascii="Times New Roman" w:hAnsi="Times New Roman" w:cs="Times New Roman"/>
          <w:i/>
        </w:rPr>
      </w:pPr>
      <w:r w:rsidRPr="00911D28">
        <w:rPr>
          <w:rFonts w:ascii="Times New Roman" w:hAnsi="Times New Roman" w:cs="Times New Roman"/>
        </w:rPr>
        <w:t>eksperymentalnych,</w:t>
      </w:r>
      <w:r w:rsidR="001A0BEE">
        <w:rPr>
          <w:rFonts w:ascii="Times New Roman" w:hAnsi="Times New Roman" w:cs="Times New Roman"/>
        </w:rPr>
        <w:t>*</w:t>
      </w:r>
      <w:r w:rsidRPr="00911D28">
        <w:rPr>
          <w:rFonts w:ascii="Times New Roman" w:hAnsi="Times New Roman" w:cs="Times New Roman"/>
        </w:rPr>
        <w:t xml:space="preserve"> </w:t>
      </w:r>
    </w:p>
    <w:p w14:paraId="784E607C" w14:textId="77777777" w:rsidR="00691C33" w:rsidRPr="00911D28" w:rsidRDefault="00691C33" w:rsidP="00691C33">
      <w:pPr>
        <w:pStyle w:val="Akapitzlist"/>
        <w:numPr>
          <w:ilvl w:val="0"/>
          <w:numId w:val="2"/>
        </w:numPr>
        <w:spacing w:line="360" w:lineRule="auto"/>
        <w:jc w:val="both"/>
        <w:rPr>
          <w:rFonts w:ascii="Times New Roman" w:hAnsi="Times New Roman" w:cs="Times New Roman"/>
          <w:i/>
        </w:rPr>
      </w:pPr>
      <w:r w:rsidRPr="00911D28">
        <w:rPr>
          <w:rFonts w:ascii="Times New Roman" w:hAnsi="Times New Roman" w:cs="Times New Roman"/>
        </w:rPr>
        <w:t>naukowych</w:t>
      </w:r>
      <w:r w:rsidR="00911D28">
        <w:rPr>
          <w:rFonts w:ascii="Times New Roman" w:hAnsi="Times New Roman" w:cs="Times New Roman"/>
        </w:rPr>
        <w:t>,</w:t>
      </w:r>
      <w:r w:rsidR="001A0BEE">
        <w:rPr>
          <w:rFonts w:ascii="Times New Roman" w:hAnsi="Times New Roman" w:cs="Times New Roman"/>
        </w:rPr>
        <w:t>*</w:t>
      </w:r>
    </w:p>
    <w:p w14:paraId="71D873F9" w14:textId="77777777" w:rsidR="00691C33" w:rsidRPr="00911D28" w:rsidRDefault="00691C33" w:rsidP="00691C33">
      <w:pPr>
        <w:pStyle w:val="Akapitzlist"/>
        <w:numPr>
          <w:ilvl w:val="0"/>
          <w:numId w:val="2"/>
        </w:numPr>
        <w:spacing w:line="360" w:lineRule="auto"/>
        <w:jc w:val="both"/>
        <w:rPr>
          <w:rFonts w:ascii="Times New Roman" w:hAnsi="Times New Roman" w:cs="Times New Roman"/>
          <w:i/>
        </w:rPr>
      </w:pPr>
      <w:r w:rsidRPr="00911D28">
        <w:rPr>
          <w:rFonts w:ascii="Times New Roman" w:hAnsi="Times New Roman" w:cs="Times New Roman"/>
        </w:rPr>
        <w:t>rozwojowych</w:t>
      </w:r>
      <w:r w:rsidR="00FE1535">
        <w:rPr>
          <w:rFonts w:ascii="Times New Roman" w:hAnsi="Times New Roman" w:cs="Times New Roman"/>
        </w:rPr>
        <w:t>,</w:t>
      </w:r>
      <w:r w:rsidR="001A0BEE">
        <w:rPr>
          <w:rFonts w:ascii="Times New Roman" w:hAnsi="Times New Roman" w:cs="Times New Roman"/>
        </w:rPr>
        <w:t>*</w:t>
      </w:r>
      <w:r w:rsidRPr="00911D28">
        <w:rPr>
          <w:rFonts w:ascii="Times New Roman" w:hAnsi="Times New Roman" w:cs="Times New Roman"/>
          <w:b/>
        </w:rPr>
        <w:t xml:space="preserve"> </w:t>
      </w:r>
    </w:p>
    <w:p w14:paraId="17E60C46" w14:textId="77777777" w:rsidR="00691C33" w:rsidRPr="003A29D2" w:rsidRDefault="00691C33" w:rsidP="00911D28">
      <w:pPr>
        <w:pStyle w:val="Akapitzlist"/>
        <w:spacing w:line="360" w:lineRule="auto"/>
        <w:ind w:left="644" w:hanging="360"/>
        <w:jc w:val="both"/>
        <w:rPr>
          <w:rFonts w:ascii="Times New Roman" w:hAnsi="Times New Roman" w:cs="Times New Roman"/>
          <w:b/>
          <w:sz w:val="20"/>
          <w:szCs w:val="20"/>
        </w:rPr>
      </w:pPr>
      <w:r w:rsidRPr="003A29D2">
        <w:rPr>
          <w:rFonts w:ascii="Times New Roman" w:hAnsi="Times New Roman" w:cs="Times New Roman"/>
          <w:i/>
          <w:sz w:val="20"/>
          <w:szCs w:val="20"/>
        </w:rPr>
        <w:t>(</w:t>
      </w:r>
      <w:r w:rsidR="00911D28" w:rsidRPr="003A29D2">
        <w:rPr>
          <w:rFonts w:ascii="Times New Roman" w:hAnsi="Times New Roman" w:cs="Times New Roman"/>
          <w:i/>
          <w:sz w:val="20"/>
          <w:szCs w:val="20"/>
        </w:rPr>
        <w:t>niewłaściwe skreślić</w:t>
      </w:r>
      <w:r w:rsidRPr="003A29D2">
        <w:rPr>
          <w:rFonts w:ascii="Times New Roman" w:hAnsi="Times New Roman" w:cs="Times New Roman"/>
          <w:i/>
          <w:sz w:val="20"/>
          <w:szCs w:val="20"/>
        </w:rPr>
        <w:t>)</w:t>
      </w:r>
      <w:r w:rsidRPr="003A29D2">
        <w:rPr>
          <w:rFonts w:ascii="Times New Roman" w:hAnsi="Times New Roman" w:cs="Times New Roman"/>
          <w:b/>
          <w:sz w:val="20"/>
          <w:szCs w:val="20"/>
        </w:rPr>
        <w:t xml:space="preserve"> </w:t>
      </w:r>
    </w:p>
    <w:p w14:paraId="6F7193CC" w14:textId="77777777" w:rsidR="0048019F" w:rsidRPr="00911D28" w:rsidRDefault="0048019F" w:rsidP="0048019F">
      <w:pPr>
        <w:spacing w:line="360" w:lineRule="auto"/>
        <w:ind w:left="284"/>
        <w:jc w:val="both"/>
        <w:rPr>
          <w:rFonts w:ascii="Times New Roman" w:hAnsi="Times New Roman" w:cs="Times New Roman"/>
          <w:u w:val="single"/>
        </w:rPr>
      </w:pPr>
      <w:r w:rsidRPr="00911D28">
        <w:rPr>
          <w:rFonts w:ascii="Times New Roman" w:hAnsi="Times New Roman" w:cs="Times New Roman"/>
          <w:u w:val="single"/>
        </w:rPr>
        <w:t xml:space="preserve">oraz nie służą </w:t>
      </w:r>
      <w:r w:rsidR="001A0BEE">
        <w:rPr>
          <w:rFonts w:ascii="Times New Roman" w:hAnsi="Times New Roman" w:cs="Times New Roman"/>
          <w:u w:val="single"/>
        </w:rPr>
        <w:t xml:space="preserve">prowadzeniu przez zamawiającego, tj. Uniwersytet Medyczny im. Piastów Śląskich we Wrocławiu </w:t>
      </w:r>
      <w:r w:rsidRPr="00911D28">
        <w:rPr>
          <w:rFonts w:ascii="Times New Roman" w:hAnsi="Times New Roman" w:cs="Times New Roman"/>
          <w:u w:val="single"/>
        </w:rPr>
        <w:t>produkcji masowej służącej osiągnięciu rentowności rynkowej lub pokryciu kosztów badań lub rozwoju</w:t>
      </w:r>
      <w:r w:rsidR="001A0BEE">
        <w:rPr>
          <w:rFonts w:ascii="Times New Roman" w:hAnsi="Times New Roman" w:cs="Times New Roman"/>
          <w:u w:val="single"/>
        </w:rPr>
        <w:t>,</w:t>
      </w:r>
    </w:p>
    <w:p w14:paraId="733FE60D" w14:textId="3FA51ABC" w:rsidR="00A33373" w:rsidRPr="00911D28" w:rsidRDefault="00E52803" w:rsidP="00911D28">
      <w:pPr>
        <w:pStyle w:val="Akapitzlist"/>
        <w:spacing w:line="360" w:lineRule="auto"/>
        <w:ind w:left="284"/>
        <w:jc w:val="both"/>
        <w:rPr>
          <w:rFonts w:ascii="Times New Roman" w:hAnsi="Times New Roman" w:cs="Times New Roman"/>
          <w:i/>
        </w:rPr>
      </w:pPr>
      <w:r w:rsidRPr="00911D28">
        <w:rPr>
          <w:rFonts w:ascii="Times New Roman" w:hAnsi="Times New Roman" w:cs="Times New Roman"/>
        </w:rPr>
        <w:t xml:space="preserve">dlatego </w:t>
      </w:r>
      <w:r w:rsidR="0048019F" w:rsidRPr="00911D28">
        <w:rPr>
          <w:rFonts w:ascii="Times New Roman" w:hAnsi="Times New Roman" w:cs="Times New Roman"/>
        </w:rPr>
        <w:t xml:space="preserve">w przypadku </w:t>
      </w:r>
      <w:r w:rsidR="00B76877">
        <w:rPr>
          <w:rFonts w:ascii="Times New Roman" w:hAnsi="Times New Roman" w:cs="Times New Roman"/>
        </w:rPr>
        <w:t>niniejszego</w:t>
      </w:r>
      <w:r w:rsidR="0048019F" w:rsidRPr="00911D28">
        <w:rPr>
          <w:rFonts w:ascii="Times New Roman" w:hAnsi="Times New Roman" w:cs="Times New Roman"/>
        </w:rPr>
        <w:t xml:space="preserve"> zamówienia </w:t>
      </w:r>
      <w:r w:rsidR="00A33373" w:rsidRPr="00911D28">
        <w:rPr>
          <w:rFonts w:ascii="Times New Roman" w:hAnsi="Times New Roman" w:cs="Times New Roman"/>
        </w:rPr>
        <w:t>zastosowanie</w:t>
      </w:r>
      <w:r w:rsidR="0048019F" w:rsidRPr="00911D28">
        <w:rPr>
          <w:rFonts w:ascii="Times New Roman" w:hAnsi="Times New Roman" w:cs="Times New Roman"/>
        </w:rPr>
        <w:t xml:space="preserve"> ma </w:t>
      </w:r>
      <w:r w:rsidR="00911D28">
        <w:rPr>
          <w:rFonts w:ascii="Times New Roman" w:hAnsi="Times New Roman" w:cs="Times New Roman"/>
        </w:rPr>
        <w:t>art. 11 ust. 5 pkt 1 U</w:t>
      </w:r>
      <w:r w:rsidR="00F11544" w:rsidRPr="00911D28">
        <w:rPr>
          <w:rFonts w:ascii="Times New Roman" w:hAnsi="Times New Roman" w:cs="Times New Roman"/>
        </w:rPr>
        <w:t xml:space="preserve">stawy z dnia </w:t>
      </w:r>
      <w:r w:rsidR="00B76877">
        <w:rPr>
          <w:rFonts w:ascii="Times New Roman" w:hAnsi="Times New Roman" w:cs="Times New Roman"/>
        </w:rPr>
        <w:br/>
      </w:r>
      <w:r w:rsidR="00F11544" w:rsidRPr="00911D28">
        <w:rPr>
          <w:rFonts w:ascii="Times New Roman" w:hAnsi="Times New Roman" w:cs="Times New Roman"/>
        </w:rPr>
        <w:t>11 września 2019 roku – Prawo zamówień publicz</w:t>
      </w:r>
      <w:r w:rsidR="00B76877">
        <w:rPr>
          <w:rFonts w:ascii="Times New Roman" w:hAnsi="Times New Roman" w:cs="Times New Roman"/>
        </w:rPr>
        <w:t>nych (tekst jedn. - Dz.U. z 202</w:t>
      </w:r>
      <w:r w:rsidR="00AE659F">
        <w:rPr>
          <w:rFonts w:ascii="Times New Roman" w:hAnsi="Times New Roman" w:cs="Times New Roman"/>
        </w:rPr>
        <w:t>4</w:t>
      </w:r>
      <w:r w:rsidR="00F11544" w:rsidRPr="00911D28">
        <w:rPr>
          <w:rFonts w:ascii="Times New Roman" w:hAnsi="Times New Roman" w:cs="Times New Roman"/>
        </w:rPr>
        <w:t xml:space="preserve"> r. poz. 1</w:t>
      </w:r>
      <w:r w:rsidR="00AE659F">
        <w:rPr>
          <w:rFonts w:ascii="Times New Roman" w:hAnsi="Times New Roman" w:cs="Times New Roman"/>
        </w:rPr>
        <w:t>320</w:t>
      </w:r>
      <w:r w:rsidR="00B27E64">
        <w:rPr>
          <w:rFonts w:ascii="Times New Roman" w:hAnsi="Times New Roman" w:cs="Times New Roman"/>
        </w:rPr>
        <w:t xml:space="preserve">, z </w:t>
      </w:r>
      <w:proofErr w:type="spellStart"/>
      <w:r w:rsidR="00B27E64">
        <w:rPr>
          <w:rFonts w:ascii="Times New Roman" w:hAnsi="Times New Roman" w:cs="Times New Roman"/>
        </w:rPr>
        <w:t>późn</w:t>
      </w:r>
      <w:proofErr w:type="spellEnd"/>
      <w:r w:rsidR="00B27E64">
        <w:rPr>
          <w:rFonts w:ascii="Times New Roman" w:hAnsi="Times New Roman" w:cs="Times New Roman"/>
        </w:rPr>
        <w:t>. zm.</w:t>
      </w:r>
      <w:r w:rsidR="00F11544" w:rsidRPr="00911D28">
        <w:rPr>
          <w:rFonts w:ascii="Times New Roman" w:hAnsi="Times New Roman" w:cs="Times New Roman"/>
        </w:rPr>
        <w:t>), zgodnie z którym przepisów ustawy nie stosuje się do zamówień o wartości mniejszej niż progi unijne, 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14:paraId="7569851E" w14:textId="77777777" w:rsidR="00EF7894" w:rsidRPr="00911D28" w:rsidRDefault="00EF7894" w:rsidP="000C4089">
      <w:pPr>
        <w:pStyle w:val="Akapitzlist"/>
        <w:ind w:left="284"/>
        <w:jc w:val="both"/>
        <w:rPr>
          <w:rFonts w:ascii="Times New Roman" w:hAnsi="Times New Roman" w:cs="Times New Roman"/>
          <w:i/>
        </w:rPr>
      </w:pPr>
    </w:p>
    <w:p w14:paraId="6C24CE9A" w14:textId="77777777" w:rsidR="00A33373" w:rsidRPr="00911D28" w:rsidRDefault="00A33373" w:rsidP="00A33373">
      <w:pPr>
        <w:pStyle w:val="Akapitzlist"/>
        <w:ind w:left="284"/>
        <w:jc w:val="right"/>
        <w:rPr>
          <w:rFonts w:ascii="Times New Roman" w:hAnsi="Times New Roman" w:cs="Times New Roman"/>
          <w:i/>
        </w:rPr>
      </w:pPr>
    </w:p>
    <w:p w14:paraId="1447BD6C" w14:textId="77777777" w:rsidR="00A33373" w:rsidRPr="00911D28" w:rsidRDefault="00A33373" w:rsidP="00A33373">
      <w:pPr>
        <w:pStyle w:val="Akapitzlist"/>
        <w:ind w:left="284"/>
        <w:jc w:val="right"/>
        <w:rPr>
          <w:rFonts w:ascii="Times New Roman" w:hAnsi="Times New Roman" w:cs="Times New Roman"/>
          <w:i/>
        </w:rPr>
      </w:pPr>
      <w:r w:rsidRPr="00911D28">
        <w:rPr>
          <w:rFonts w:ascii="Times New Roman" w:hAnsi="Times New Roman" w:cs="Times New Roman"/>
          <w:i/>
        </w:rPr>
        <w:t>………………………………………….</w:t>
      </w:r>
    </w:p>
    <w:p w14:paraId="1F3AA1D1" w14:textId="77777777" w:rsidR="00A33373" w:rsidRPr="001A0BEE" w:rsidRDefault="00A33373" w:rsidP="00A33373">
      <w:pPr>
        <w:pStyle w:val="Akapitzlist"/>
        <w:ind w:left="284"/>
        <w:jc w:val="right"/>
        <w:rPr>
          <w:rFonts w:ascii="Times New Roman" w:hAnsi="Times New Roman" w:cs="Times New Roman"/>
          <w:i/>
        </w:rPr>
      </w:pPr>
      <w:r w:rsidRPr="001A0BEE">
        <w:rPr>
          <w:rFonts w:ascii="Times New Roman" w:hAnsi="Times New Roman" w:cs="Times New Roman"/>
          <w:i/>
        </w:rPr>
        <w:t xml:space="preserve">Podpis Kierownika </w:t>
      </w:r>
      <w:r w:rsidR="00B76877" w:rsidRPr="001A0BEE">
        <w:rPr>
          <w:rFonts w:ascii="Times New Roman" w:hAnsi="Times New Roman" w:cs="Times New Roman"/>
          <w:i/>
        </w:rPr>
        <w:t xml:space="preserve">jednostki/Kierownika </w:t>
      </w:r>
      <w:r w:rsidRPr="001A0BEE">
        <w:rPr>
          <w:rFonts w:ascii="Times New Roman" w:hAnsi="Times New Roman" w:cs="Times New Roman"/>
          <w:i/>
        </w:rPr>
        <w:t>Projektu</w:t>
      </w:r>
    </w:p>
    <w:p w14:paraId="275E90A4" w14:textId="77777777" w:rsidR="00A33373" w:rsidRPr="00911D28" w:rsidRDefault="00A33373" w:rsidP="00A372D5">
      <w:pPr>
        <w:pStyle w:val="Akapitzlist"/>
        <w:ind w:left="284"/>
        <w:jc w:val="right"/>
        <w:rPr>
          <w:rFonts w:ascii="Times New Roman" w:hAnsi="Times New Roman" w:cs="Times New Roman"/>
          <w:b/>
          <w:i/>
        </w:rPr>
      </w:pPr>
    </w:p>
    <w:p w14:paraId="71DFA284" w14:textId="77777777" w:rsidR="003A29D2" w:rsidRDefault="003A29D2" w:rsidP="00FE1535">
      <w:pPr>
        <w:ind w:firstLine="426"/>
        <w:jc w:val="both"/>
      </w:pPr>
    </w:p>
    <w:p w14:paraId="2B6A91F9" w14:textId="77777777" w:rsidR="003A29D2" w:rsidRDefault="003A29D2" w:rsidP="00FE1535">
      <w:pPr>
        <w:ind w:firstLine="426"/>
        <w:jc w:val="both"/>
      </w:pPr>
    </w:p>
    <w:p w14:paraId="326EC637" w14:textId="77777777" w:rsidR="003A29D2" w:rsidRDefault="003A29D2" w:rsidP="00FE1535">
      <w:pPr>
        <w:ind w:firstLine="426"/>
        <w:jc w:val="both"/>
      </w:pPr>
    </w:p>
    <w:p w14:paraId="5EB6EDC4" w14:textId="7CC1F292" w:rsidR="003A29D2" w:rsidRPr="00C439D6" w:rsidRDefault="00FE1535" w:rsidP="00FE1535">
      <w:pPr>
        <w:ind w:firstLine="426"/>
        <w:jc w:val="both"/>
        <w:rPr>
          <w:rFonts w:ascii="Times New Roman" w:hAnsi="Times New Roman" w:cs="Times New Roman"/>
          <w:i/>
          <w:sz w:val="20"/>
          <w:szCs w:val="20"/>
        </w:rPr>
      </w:pPr>
      <w:r w:rsidRPr="00C439D6">
        <w:rPr>
          <w:rFonts w:ascii="Times New Roman" w:hAnsi="Times New Roman" w:cs="Times New Roman"/>
          <w:sz w:val="20"/>
          <w:szCs w:val="20"/>
        </w:rPr>
        <w:t>*</w:t>
      </w:r>
      <w:r w:rsidRPr="00C439D6">
        <w:rPr>
          <w:rFonts w:ascii="Times New Roman" w:hAnsi="Times New Roman" w:cs="Times New Roman"/>
          <w:i/>
          <w:sz w:val="20"/>
          <w:szCs w:val="20"/>
        </w:rPr>
        <w:t xml:space="preserve">Zgodnie z art. 4 ust. 2 </w:t>
      </w:r>
      <w:r w:rsidRPr="00C439D6">
        <w:rPr>
          <w:rFonts w:ascii="Times New Roman" w:hAnsi="Times New Roman" w:cs="Times New Roman"/>
          <w:sz w:val="20"/>
          <w:szCs w:val="20"/>
        </w:rPr>
        <w:t>Ustawy z dnia 20 lipca 2018 r. Prawo o szkolnictwie wyższym i nauce (t</w:t>
      </w:r>
      <w:r w:rsidR="00111976" w:rsidRPr="00C439D6">
        <w:rPr>
          <w:rFonts w:ascii="Times New Roman" w:hAnsi="Times New Roman" w:cs="Times New Roman"/>
          <w:sz w:val="20"/>
          <w:szCs w:val="20"/>
        </w:rPr>
        <w:t xml:space="preserve">ekst </w:t>
      </w:r>
      <w:r w:rsidRPr="00C439D6">
        <w:rPr>
          <w:rFonts w:ascii="Times New Roman" w:hAnsi="Times New Roman" w:cs="Times New Roman"/>
          <w:sz w:val="20"/>
          <w:szCs w:val="20"/>
        </w:rPr>
        <w:t>j</w:t>
      </w:r>
      <w:r w:rsidR="00111976" w:rsidRPr="00C439D6">
        <w:rPr>
          <w:rFonts w:ascii="Times New Roman" w:hAnsi="Times New Roman" w:cs="Times New Roman"/>
          <w:sz w:val="20"/>
          <w:szCs w:val="20"/>
        </w:rPr>
        <w:t>edn</w:t>
      </w:r>
      <w:r w:rsidRPr="00C439D6">
        <w:rPr>
          <w:rFonts w:ascii="Times New Roman" w:hAnsi="Times New Roman" w:cs="Times New Roman"/>
          <w:sz w:val="20"/>
          <w:szCs w:val="20"/>
        </w:rPr>
        <w:t xml:space="preserve">. </w:t>
      </w:r>
      <w:r w:rsidR="00111976" w:rsidRPr="00C439D6">
        <w:rPr>
          <w:rFonts w:ascii="Times New Roman" w:hAnsi="Times New Roman" w:cs="Times New Roman"/>
          <w:sz w:val="20"/>
          <w:szCs w:val="20"/>
        </w:rPr>
        <w:t xml:space="preserve">– Dz. U. </w:t>
      </w:r>
      <w:r w:rsidRPr="00C439D6">
        <w:rPr>
          <w:rFonts w:ascii="Times New Roman" w:hAnsi="Times New Roman" w:cs="Times New Roman"/>
          <w:sz w:val="20"/>
          <w:szCs w:val="20"/>
        </w:rPr>
        <w:t>z 202</w:t>
      </w:r>
      <w:r w:rsidR="00111976" w:rsidRPr="00C439D6">
        <w:rPr>
          <w:rFonts w:ascii="Times New Roman" w:hAnsi="Times New Roman" w:cs="Times New Roman"/>
          <w:sz w:val="20"/>
          <w:szCs w:val="20"/>
        </w:rPr>
        <w:t>3</w:t>
      </w:r>
      <w:r w:rsidRPr="00C439D6">
        <w:rPr>
          <w:rFonts w:ascii="Times New Roman" w:hAnsi="Times New Roman" w:cs="Times New Roman"/>
          <w:sz w:val="20"/>
          <w:szCs w:val="20"/>
        </w:rPr>
        <w:t xml:space="preserve"> r.</w:t>
      </w:r>
      <w:r w:rsidR="00111976" w:rsidRPr="00C439D6">
        <w:rPr>
          <w:rFonts w:ascii="Times New Roman" w:hAnsi="Times New Roman" w:cs="Times New Roman"/>
          <w:sz w:val="20"/>
          <w:szCs w:val="20"/>
        </w:rPr>
        <w:t>,</w:t>
      </w:r>
      <w:r w:rsidRPr="00C439D6">
        <w:rPr>
          <w:rFonts w:ascii="Times New Roman" w:hAnsi="Times New Roman" w:cs="Times New Roman"/>
          <w:sz w:val="20"/>
          <w:szCs w:val="20"/>
        </w:rPr>
        <w:t xml:space="preserve"> poz. </w:t>
      </w:r>
      <w:r w:rsidR="00111976" w:rsidRPr="00C439D6">
        <w:rPr>
          <w:rFonts w:ascii="Times New Roman" w:hAnsi="Times New Roman" w:cs="Times New Roman"/>
          <w:sz w:val="20"/>
          <w:szCs w:val="20"/>
        </w:rPr>
        <w:t xml:space="preserve">742, z </w:t>
      </w:r>
      <w:proofErr w:type="spellStart"/>
      <w:r w:rsidR="00111976" w:rsidRPr="00C439D6">
        <w:rPr>
          <w:rFonts w:ascii="Times New Roman" w:hAnsi="Times New Roman" w:cs="Times New Roman"/>
          <w:sz w:val="20"/>
          <w:szCs w:val="20"/>
        </w:rPr>
        <w:t>późn</w:t>
      </w:r>
      <w:proofErr w:type="spellEnd"/>
      <w:r w:rsidR="00111976" w:rsidRPr="00C439D6">
        <w:rPr>
          <w:rFonts w:ascii="Times New Roman" w:hAnsi="Times New Roman" w:cs="Times New Roman"/>
          <w:sz w:val="20"/>
          <w:szCs w:val="20"/>
        </w:rPr>
        <w:t>. zm.</w:t>
      </w:r>
      <w:r w:rsidRPr="00C439D6">
        <w:rPr>
          <w:rFonts w:ascii="Times New Roman" w:hAnsi="Times New Roman" w:cs="Times New Roman"/>
          <w:sz w:val="20"/>
          <w:szCs w:val="20"/>
        </w:rPr>
        <w:t>, dalej jako: „</w:t>
      </w:r>
      <w:proofErr w:type="spellStart"/>
      <w:r w:rsidRPr="00C439D6">
        <w:rPr>
          <w:rFonts w:ascii="Times New Roman" w:hAnsi="Times New Roman" w:cs="Times New Roman"/>
          <w:sz w:val="20"/>
          <w:szCs w:val="20"/>
        </w:rPr>
        <w:t>PSWiN</w:t>
      </w:r>
      <w:proofErr w:type="spellEnd"/>
      <w:r w:rsidRPr="00C439D6">
        <w:rPr>
          <w:rFonts w:ascii="Times New Roman" w:hAnsi="Times New Roman" w:cs="Times New Roman"/>
          <w:sz w:val="20"/>
          <w:szCs w:val="20"/>
        </w:rPr>
        <w:t>”)</w:t>
      </w:r>
      <w:r w:rsidRPr="00C439D6">
        <w:rPr>
          <w:rFonts w:ascii="Times New Roman" w:hAnsi="Times New Roman" w:cs="Times New Roman"/>
          <w:i/>
          <w:sz w:val="20"/>
          <w:szCs w:val="20"/>
        </w:rPr>
        <w:t xml:space="preserve">, </w:t>
      </w:r>
      <w:r w:rsidRPr="00C439D6">
        <w:rPr>
          <w:rFonts w:ascii="Times New Roman" w:hAnsi="Times New Roman" w:cs="Times New Roman"/>
          <w:b/>
          <w:i/>
          <w:sz w:val="20"/>
          <w:szCs w:val="20"/>
        </w:rPr>
        <w:t>badania naukowe</w:t>
      </w:r>
      <w:r w:rsidRPr="00C439D6">
        <w:rPr>
          <w:rFonts w:ascii="Times New Roman" w:hAnsi="Times New Roman" w:cs="Times New Roman"/>
          <w:i/>
          <w:sz w:val="20"/>
          <w:szCs w:val="20"/>
        </w:rPr>
        <w:t xml:space="preserve"> są działalnością obejmującą: </w:t>
      </w:r>
    </w:p>
    <w:p w14:paraId="2ACC647A" w14:textId="77777777" w:rsidR="00FE1535" w:rsidRDefault="00FE1535" w:rsidP="00FE1535">
      <w:pPr>
        <w:ind w:left="426" w:hanging="142"/>
        <w:jc w:val="both"/>
        <w:rPr>
          <w:rFonts w:ascii="Times New Roman" w:hAnsi="Times New Roman" w:cs="Times New Roman"/>
          <w:i/>
          <w:sz w:val="20"/>
          <w:szCs w:val="20"/>
        </w:rPr>
      </w:pPr>
      <w:r w:rsidRPr="00C439D6">
        <w:rPr>
          <w:rFonts w:ascii="Times New Roman" w:hAnsi="Times New Roman" w:cs="Times New Roman"/>
          <w:i/>
          <w:sz w:val="20"/>
          <w:szCs w:val="20"/>
        </w:rPr>
        <w:t>1) badania podstawowe rozumiane jako prace empiryczne lub teoretyczne mające przede wszystkim na celu zdobywanie nowej wiedzy o podstawach zjawisk i obserwowalnych faktów bez nastawienia na bezpośrednie</w:t>
      </w:r>
      <w:r w:rsidRPr="00FE1535">
        <w:rPr>
          <w:rFonts w:ascii="Times New Roman" w:hAnsi="Times New Roman" w:cs="Times New Roman"/>
          <w:i/>
          <w:sz w:val="20"/>
          <w:szCs w:val="20"/>
        </w:rPr>
        <w:t xml:space="preserve"> zastosowanie komercyjne, </w:t>
      </w:r>
    </w:p>
    <w:p w14:paraId="7E3761DA" w14:textId="77777777" w:rsidR="00FE1535" w:rsidRDefault="00FE1535" w:rsidP="00FE1535">
      <w:pPr>
        <w:ind w:left="426" w:hanging="142"/>
        <w:jc w:val="both"/>
        <w:rPr>
          <w:rFonts w:ascii="Times New Roman" w:hAnsi="Times New Roman" w:cs="Times New Roman"/>
          <w:i/>
          <w:sz w:val="20"/>
          <w:szCs w:val="20"/>
        </w:rPr>
      </w:pPr>
      <w:r w:rsidRPr="00FE1535">
        <w:rPr>
          <w:rFonts w:ascii="Times New Roman" w:hAnsi="Times New Roman" w:cs="Times New Roman"/>
          <w:i/>
          <w:sz w:val="20"/>
          <w:szCs w:val="20"/>
        </w:rPr>
        <w:t xml:space="preserve">2) badania aplikacyjne rozumiane jako prace mające na celu zdobycie nowej wiedzy oraz umiejętności, nastawione na opracowywanie nowych produktów, procesów lub usług lub wprowadzanie do nich znaczących ulepszeń. </w:t>
      </w:r>
    </w:p>
    <w:p w14:paraId="2DB1D79D" w14:textId="77777777" w:rsidR="00FE1535" w:rsidRDefault="00FE1535" w:rsidP="00FE1535">
      <w:pPr>
        <w:ind w:firstLine="284"/>
        <w:jc w:val="both"/>
        <w:rPr>
          <w:rFonts w:ascii="Times New Roman" w:hAnsi="Times New Roman" w:cs="Times New Roman"/>
          <w:i/>
          <w:sz w:val="20"/>
          <w:szCs w:val="20"/>
        </w:rPr>
      </w:pPr>
      <w:r w:rsidRPr="00FE1535">
        <w:rPr>
          <w:rFonts w:ascii="Times New Roman" w:hAnsi="Times New Roman" w:cs="Times New Roman"/>
          <w:i/>
          <w:sz w:val="20"/>
          <w:szCs w:val="20"/>
        </w:rPr>
        <w:t xml:space="preserve">Natomiast zgodnie z art. 4 ust. 3 </w:t>
      </w:r>
      <w:proofErr w:type="spellStart"/>
      <w:r w:rsidRPr="00FE1535">
        <w:rPr>
          <w:rFonts w:ascii="Times New Roman" w:hAnsi="Times New Roman" w:cs="Times New Roman"/>
          <w:i/>
          <w:sz w:val="20"/>
          <w:szCs w:val="20"/>
        </w:rPr>
        <w:t>PSWiN</w:t>
      </w:r>
      <w:proofErr w:type="spellEnd"/>
      <w:r w:rsidRPr="00FE1535">
        <w:rPr>
          <w:rFonts w:ascii="Times New Roman" w:hAnsi="Times New Roman" w:cs="Times New Roman"/>
          <w:i/>
          <w:sz w:val="20"/>
          <w:szCs w:val="20"/>
        </w:rPr>
        <w:t xml:space="preserve">, </w:t>
      </w:r>
      <w:r w:rsidRPr="00FE1535">
        <w:rPr>
          <w:rFonts w:ascii="Times New Roman" w:hAnsi="Times New Roman" w:cs="Times New Roman"/>
          <w:b/>
          <w:i/>
          <w:sz w:val="20"/>
          <w:szCs w:val="20"/>
        </w:rPr>
        <w:t>prace rozwojowe</w:t>
      </w:r>
      <w:r w:rsidRPr="00FE1535">
        <w:rPr>
          <w:rFonts w:ascii="Times New Roman" w:hAnsi="Times New Roman" w:cs="Times New Roman"/>
          <w:i/>
          <w:sz w:val="20"/>
          <w:szCs w:val="20"/>
        </w:rPr>
        <w:t xml:space="preserve"> są działalnością obejmującą nabywanie, łączenie, kształtowanie i wykorzystywanie dostępnej aktualnie wiedzy i umiejętności, w tym w zakresie narzędzi informatycznych lub oprogramowania, do planowania produkcji oraz projektowania i tworzenia zmienionych, ulepszonych lub nowych produktów, procesów lub usług, z wyłączeniem działalności obejmującej rutynowe </w:t>
      </w:r>
      <w:r w:rsidR="001A0BEE">
        <w:rPr>
          <w:rFonts w:ascii="Times New Roman" w:hAnsi="Times New Roman" w:cs="Times New Roman"/>
          <w:i/>
          <w:sz w:val="20"/>
          <w:szCs w:val="20"/>
        </w:rPr>
        <w:br/>
      </w:r>
      <w:r w:rsidRPr="00FE1535">
        <w:rPr>
          <w:rFonts w:ascii="Times New Roman" w:hAnsi="Times New Roman" w:cs="Times New Roman"/>
          <w:i/>
          <w:sz w:val="20"/>
          <w:szCs w:val="20"/>
        </w:rPr>
        <w:t xml:space="preserve">i okresowe zmiany wprowadzane do nich, nawet jeżeli takie zmiany mają charakter ulepszeń. </w:t>
      </w:r>
    </w:p>
    <w:p w14:paraId="1AA97FC6"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Pomocniczo, przy definiowaniu pojęć: </w:t>
      </w:r>
      <w:r w:rsidRPr="00FE1535">
        <w:rPr>
          <w:rFonts w:ascii="Times New Roman" w:hAnsi="Times New Roman" w:cs="Times New Roman"/>
          <w:b/>
          <w:i/>
          <w:sz w:val="20"/>
          <w:szCs w:val="20"/>
        </w:rPr>
        <w:t>„prace badawcze”</w:t>
      </w:r>
      <w:r w:rsidRPr="00FE1535">
        <w:rPr>
          <w:rFonts w:ascii="Times New Roman" w:hAnsi="Times New Roman" w:cs="Times New Roman"/>
          <w:i/>
          <w:sz w:val="20"/>
          <w:szCs w:val="20"/>
        </w:rPr>
        <w:t xml:space="preserve"> i </w:t>
      </w:r>
      <w:r w:rsidRPr="00FE1535">
        <w:rPr>
          <w:rFonts w:ascii="Times New Roman" w:hAnsi="Times New Roman" w:cs="Times New Roman"/>
          <w:b/>
          <w:i/>
          <w:sz w:val="20"/>
          <w:szCs w:val="20"/>
        </w:rPr>
        <w:t>„prace rozwojowe”</w:t>
      </w:r>
      <w:r w:rsidRPr="00FE1535">
        <w:rPr>
          <w:rFonts w:ascii="Times New Roman" w:hAnsi="Times New Roman" w:cs="Times New Roman"/>
          <w:i/>
          <w:sz w:val="20"/>
          <w:szCs w:val="20"/>
        </w:rPr>
        <w:t xml:space="preserve"> przydatne jest odwołanie się do definicji prac badawczych i rozwojowych ujętych w Międzynarodowych Standardach Rachunkowości. Zgodnie z definicją prac badawczych, którą posłużono się w Międzynarodowym Standardzie Rachunkowośc</w:t>
      </w:r>
      <w:r>
        <w:rPr>
          <w:rFonts w:ascii="Times New Roman" w:hAnsi="Times New Roman" w:cs="Times New Roman"/>
          <w:i/>
          <w:sz w:val="20"/>
          <w:szCs w:val="20"/>
        </w:rPr>
        <w:t>i MSR 38 Wartości niematerialne</w:t>
      </w:r>
      <w:r w:rsidR="001A0BEE">
        <w:rPr>
          <w:rFonts w:ascii="Calibri" w:hAnsi="Calibri" w:cs="Calibri"/>
          <w:i/>
          <w:sz w:val="20"/>
          <w:szCs w:val="20"/>
        </w:rPr>
        <w:t>¹</w:t>
      </w:r>
      <w:r w:rsidRPr="00FE1535">
        <w:rPr>
          <w:rFonts w:ascii="Times New Roman" w:hAnsi="Times New Roman" w:cs="Times New Roman"/>
          <w:i/>
          <w:sz w:val="20"/>
          <w:szCs w:val="20"/>
        </w:rPr>
        <w:t xml:space="preserve">, </w:t>
      </w:r>
      <w:r w:rsidRPr="00FE1535">
        <w:rPr>
          <w:rFonts w:ascii="Times New Roman" w:hAnsi="Times New Roman" w:cs="Times New Roman"/>
          <w:b/>
          <w:i/>
          <w:sz w:val="20"/>
          <w:szCs w:val="20"/>
        </w:rPr>
        <w:t>prace badawcze</w:t>
      </w:r>
      <w:r w:rsidRPr="00FE1535">
        <w:rPr>
          <w:rFonts w:ascii="Times New Roman" w:hAnsi="Times New Roman" w:cs="Times New Roman"/>
          <w:i/>
          <w:sz w:val="20"/>
          <w:szCs w:val="20"/>
        </w:rPr>
        <w:t xml:space="preserve"> są nowatorskim i zaplanowanym poszukiwaniem rozwiązań podjętym z zamiarem zdobycia i przyswojenia nowej wiedzy naukowej i technicznej (paragraf 8 MSR 38). Do przykładów prac badawczych zalicza się: </w:t>
      </w:r>
    </w:p>
    <w:p w14:paraId="73978B52"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1) działania zmierzające do zdobycia nowej wiedzy, </w:t>
      </w:r>
    </w:p>
    <w:p w14:paraId="17C8B211"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2) poszukiwanie, ocenę i końcową selekcję sposobu wykorzystania rezultatów prac badawczych lub wiedzy innego rodzaju, </w:t>
      </w:r>
    </w:p>
    <w:p w14:paraId="0963F199"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3) poszukiwanie alternatywnych materiałów, urządzeń, produktów, procesów, systemów lub usług oraz </w:t>
      </w:r>
    </w:p>
    <w:p w14:paraId="5A382FA1"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 4) formułowanie, projektowanie, ocenę i końcową selekcję nowych lub udoskonalonych materiałów, urządzeń, produktów, procesów, systemów lub usług (paragraf 56 MSR 38). </w:t>
      </w:r>
    </w:p>
    <w:p w14:paraId="38882468"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Zgodnie z definicją przyjętą w paragrafie 8 MSR 38, </w:t>
      </w:r>
      <w:r w:rsidRPr="00FE1535">
        <w:rPr>
          <w:rFonts w:ascii="Times New Roman" w:hAnsi="Times New Roman" w:cs="Times New Roman"/>
          <w:b/>
          <w:i/>
          <w:sz w:val="20"/>
          <w:szCs w:val="20"/>
        </w:rPr>
        <w:t>prace rozwojowe</w:t>
      </w:r>
      <w:r w:rsidRPr="00FE1535">
        <w:rPr>
          <w:rFonts w:ascii="Times New Roman" w:hAnsi="Times New Roman" w:cs="Times New Roman"/>
          <w:i/>
          <w:sz w:val="20"/>
          <w:szCs w:val="20"/>
        </w:rPr>
        <w:t xml:space="preserve"> są praktycznym zastosowaniem odkryć badawczych lub też osiągnięć innej wiedzy w planowaniu lub projektowaniu produkcji nowych lub znacznie udoskonalonych materiałów, urządzeń, produktów, procesów technologicznych, systemów lub usług, które ma miejsce przed rozpoczęciem produkcji seryjnej lub zastosowaniem. Do </w:t>
      </w:r>
      <w:r w:rsidRPr="00FE1535">
        <w:rPr>
          <w:rFonts w:ascii="Times New Roman" w:hAnsi="Times New Roman" w:cs="Times New Roman"/>
          <w:b/>
          <w:i/>
          <w:sz w:val="20"/>
          <w:szCs w:val="20"/>
        </w:rPr>
        <w:t>prac rozwojowych</w:t>
      </w:r>
      <w:r w:rsidRPr="00FE1535">
        <w:rPr>
          <w:rFonts w:ascii="Times New Roman" w:hAnsi="Times New Roman" w:cs="Times New Roman"/>
          <w:i/>
          <w:sz w:val="20"/>
          <w:szCs w:val="20"/>
        </w:rPr>
        <w:t xml:space="preserve"> zalicza się: </w:t>
      </w:r>
    </w:p>
    <w:p w14:paraId="59E9795B"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1) projektowanie, wykonanie i testowanie prototypów i modeli doświadczalnych (przed ich wdrożeniem do produkcji seryjnej lub użytkowania), </w:t>
      </w:r>
    </w:p>
    <w:p w14:paraId="6CE16E26"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2) projektowanie narzędzi, przyrządów do obróbki, form i matryc z wykorzystaniem nowej technologii, </w:t>
      </w:r>
    </w:p>
    <w:p w14:paraId="1F4B9CB2"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3) projektowanie, wykonanie i funkcjonowanie linii pilotażowej, której wielkość nie umożliwia prowadzenia ekonomicznie uzasadnionej produkcji przeznaczonej na sprzedaż oraz </w:t>
      </w:r>
    </w:p>
    <w:p w14:paraId="32C719EE" w14:textId="77777777"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lastRenderedPageBreak/>
        <w:t>4) projektowanie, wykonanie i testowanie wybranych rozwiązań w zakresie nowych lub udoskonalonych materiałów, urządzeń, produktów, procesów, systemów lub usług (paragraf 59 MSR 38).</w:t>
      </w:r>
    </w:p>
    <w:p w14:paraId="1B3A7AF5" w14:textId="0D55D3BB" w:rsidR="00FE1535" w:rsidRDefault="00FE1535" w:rsidP="00FE1535">
      <w:pPr>
        <w:ind w:firstLine="426"/>
        <w:jc w:val="both"/>
        <w:rPr>
          <w:rFonts w:ascii="Times New Roman" w:hAnsi="Times New Roman" w:cs="Times New Roman"/>
          <w:i/>
          <w:sz w:val="20"/>
          <w:szCs w:val="20"/>
        </w:rPr>
      </w:pPr>
      <w:r w:rsidRPr="00FE1535">
        <w:rPr>
          <w:rFonts w:ascii="Times New Roman" w:hAnsi="Times New Roman" w:cs="Times New Roman"/>
          <w:i/>
          <w:sz w:val="20"/>
          <w:szCs w:val="20"/>
        </w:rPr>
        <w:t xml:space="preserve">W prawie europejskim występuje definicja „prac eksperymentalnych” w ramach definicji pojęcia „eksperymentalne prace rozwojowe”. Zgodnie z rozporządzeniem Komisji Europejskiej nr 651/2014 </w:t>
      </w:r>
      <w:r w:rsidRPr="00FE1535">
        <w:rPr>
          <w:rFonts w:ascii="Times New Roman" w:hAnsi="Times New Roman" w:cs="Times New Roman"/>
          <w:b/>
          <w:i/>
          <w:sz w:val="20"/>
          <w:szCs w:val="20"/>
        </w:rPr>
        <w:t>eksperymentalne prace rozwojowe</w:t>
      </w:r>
      <w:r w:rsidRPr="00FE1535">
        <w:rPr>
          <w:rFonts w:ascii="Times New Roman" w:hAnsi="Times New Roman" w:cs="Times New Roman"/>
          <w:i/>
          <w:sz w:val="20"/>
          <w:szCs w:val="20"/>
        </w:rPr>
        <w:t xml:space="preserve">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 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r w:rsidR="003A29D2">
        <w:rPr>
          <w:rFonts w:ascii="Calibri" w:hAnsi="Calibri" w:cs="Calibri"/>
          <w:i/>
          <w:sz w:val="20"/>
          <w:szCs w:val="20"/>
        </w:rPr>
        <w:t>²</w:t>
      </w:r>
      <w:r w:rsidRPr="00FE1535">
        <w:rPr>
          <w:rFonts w:ascii="Times New Roman" w:hAnsi="Times New Roman" w:cs="Times New Roman"/>
          <w:i/>
          <w:sz w:val="20"/>
          <w:szCs w:val="20"/>
        </w:rPr>
        <w:t xml:space="preserve"> .</w:t>
      </w:r>
    </w:p>
    <w:p w14:paraId="2D8BC506" w14:textId="77777777" w:rsidR="00194A12" w:rsidRPr="00FE1535" w:rsidRDefault="00194A12" w:rsidP="00FE1535">
      <w:pPr>
        <w:ind w:firstLine="426"/>
        <w:jc w:val="both"/>
        <w:rPr>
          <w:rFonts w:ascii="Times New Roman" w:hAnsi="Times New Roman" w:cs="Times New Roman"/>
          <w:i/>
          <w:sz w:val="20"/>
          <w:szCs w:val="20"/>
        </w:rPr>
      </w:pPr>
      <w:r w:rsidRPr="00194A12">
        <w:rPr>
          <w:rFonts w:ascii="Times New Roman" w:hAnsi="Times New Roman" w:cs="Times New Roman"/>
          <w:i/>
          <w:sz w:val="20"/>
          <w:szCs w:val="20"/>
        </w:rPr>
        <w:t>Przedmiotem wyłączenia z a</w:t>
      </w:r>
      <w:r w:rsidR="006E15E0">
        <w:rPr>
          <w:rFonts w:ascii="Times New Roman" w:hAnsi="Times New Roman" w:cs="Times New Roman"/>
          <w:i/>
          <w:sz w:val="20"/>
          <w:szCs w:val="20"/>
        </w:rPr>
        <w:t xml:space="preserve">rt. 11 ust. 5 pkt 1 </w:t>
      </w:r>
      <w:proofErr w:type="spellStart"/>
      <w:r w:rsidR="006E15E0">
        <w:rPr>
          <w:rFonts w:ascii="Times New Roman" w:hAnsi="Times New Roman" w:cs="Times New Roman"/>
          <w:i/>
          <w:sz w:val="20"/>
          <w:szCs w:val="20"/>
        </w:rPr>
        <w:t>Pzp</w:t>
      </w:r>
      <w:proofErr w:type="spellEnd"/>
      <w:r w:rsidR="006E15E0">
        <w:rPr>
          <w:rFonts w:ascii="Times New Roman" w:hAnsi="Times New Roman" w:cs="Times New Roman"/>
          <w:i/>
          <w:sz w:val="20"/>
          <w:szCs w:val="20"/>
        </w:rPr>
        <w:t xml:space="preserve"> jest</w:t>
      </w:r>
      <w:r w:rsidRPr="00194A12">
        <w:rPr>
          <w:rFonts w:ascii="Times New Roman" w:hAnsi="Times New Roman" w:cs="Times New Roman"/>
          <w:i/>
          <w:sz w:val="20"/>
          <w:szCs w:val="20"/>
        </w:rPr>
        <w:t xml:space="preserve"> dostawa lub usługa służąca wyłącznie do celów prac badawczych, eksperymentalnych, naukowych lub rozwojowych, co oznacza, że sam zakup (urządzeń, produktów, praw itp.), jak i świadczenie usług nie może służyć innemu celowi ani też nie może być przeznaczone jednocześnie dla celu wymienionego w wyłączeniu, jak i innego celu. Nie jest zatem możliwe nabywanie na tej podstawie poza </w:t>
      </w:r>
      <w:proofErr w:type="spellStart"/>
      <w:r w:rsidRPr="00194A12">
        <w:rPr>
          <w:rFonts w:ascii="Times New Roman" w:hAnsi="Times New Roman" w:cs="Times New Roman"/>
          <w:i/>
          <w:sz w:val="20"/>
          <w:szCs w:val="20"/>
        </w:rPr>
        <w:t>Pzp</w:t>
      </w:r>
      <w:proofErr w:type="spellEnd"/>
      <w:r w:rsidRPr="00194A12">
        <w:rPr>
          <w:rFonts w:ascii="Times New Roman" w:hAnsi="Times New Roman" w:cs="Times New Roman"/>
          <w:i/>
          <w:sz w:val="20"/>
          <w:szCs w:val="20"/>
        </w:rPr>
        <w:t xml:space="preserve"> dostaw lub usług tzw. podwójnego zastosowania, czyli takich, których zastosowanie może być szersze niż cele wskazane w wyłączeniu, np. komputer nabywany na tej podstawie nie może być sprzętem, który może być wykorzystywany także dla innych celów u zamawiającego, np. odbierania poczty elektronicznej i innych zastosowań poza pracami badawczymi, eksperymentalnymi, naukowymi i rozwojowymi.</w:t>
      </w:r>
    </w:p>
    <w:sectPr w:rsidR="00194A12" w:rsidRPr="00FE1535" w:rsidSect="003A29D2">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2EB66" w14:textId="77777777" w:rsidR="00B75C7A" w:rsidRDefault="00B75C7A" w:rsidP="00FE1535">
      <w:pPr>
        <w:spacing w:after="0" w:line="240" w:lineRule="auto"/>
      </w:pPr>
      <w:r>
        <w:separator/>
      </w:r>
    </w:p>
  </w:endnote>
  <w:endnote w:type="continuationSeparator" w:id="0">
    <w:p w14:paraId="47B7B219" w14:textId="77777777" w:rsidR="00B75C7A" w:rsidRDefault="00B75C7A" w:rsidP="00FE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13C8" w14:textId="77777777" w:rsidR="003A29D2" w:rsidRDefault="003A29D2" w:rsidP="003A29D2">
    <w:pPr>
      <w:pStyle w:val="Stopka"/>
      <w:rPr>
        <w:rFonts w:ascii="Times New Roman" w:hAnsi="Times New Roman" w:cs="Times New Roman"/>
        <w:i/>
        <w:sz w:val="18"/>
        <w:szCs w:val="18"/>
      </w:rPr>
    </w:pPr>
    <w:r>
      <w:rPr>
        <w:rFonts w:ascii="Calibri" w:hAnsi="Calibri" w:cs="Calibri"/>
        <w:i/>
        <w:sz w:val="18"/>
        <w:szCs w:val="18"/>
      </w:rPr>
      <w:t>¹</w:t>
    </w:r>
    <w:r w:rsidRPr="00FE1535">
      <w:rPr>
        <w:rFonts w:ascii="Times New Roman" w:hAnsi="Times New Roman" w:cs="Times New Roman"/>
        <w:i/>
        <w:sz w:val="18"/>
        <w:szCs w:val="18"/>
      </w:rPr>
      <w:t>Załącznik do rozporządzenia Komisji (WE) nr 1126/2008 z dnia 3.11.2008 r. przyjmującego określone międzynarodowe standardy rachunkowości zgodnie z rozporządzeniem (WE) nr 1606/2002 Parlamentu Europejskiego i Rady (Dz. Urz. UE L 320 z 29.11.2008, str.1</w:t>
    </w:r>
  </w:p>
  <w:p w14:paraId="0470996E" w14:textId="77777777" w:rsidR="003A29D2" w:rsidRDefault="003A29D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EB63" w14:textId="77777777" w:rsidR="003A29D2" w:rsidRPr="00FE1535" w:rsidRDefault="003A29D2" w:rsidP="003A29D2">
    <w:pPr>
      <w:pStyle w:val="Stopka"/>
      <w:rPr>
        <w:rFonts w:ascii="Times New Roman" w:hAnsi="Times New Roman" w:cs="Times New Roman"/>
        <w:i/>
        <w:sz w:val="18"/>
        <w:szCs w:val="18"/>
      </w:rPr>
    </w:pPr>
    <w:r>
      <w:rPr>
        <w:rFonts w:cstheme="minorHAnsi"/>
      </w:rPr>
      <w:t>²</w:t>
    </w:r>
    <w:r w:rsidRPr="00FE1535">
      <w:t xml:space="preserve"> </w:t>
    </w:r>
    <w:r w:rsidRPr="00FE1535">
      <w:rPr>
        <w:rFonts w:ascii="Calibri" w:hAnsi="Calibri" w:cs="Calibri"/>
        <w:i/>
        <w:sz w:val="18"/>
        <w:szCs w:val="18"/>
      </w:rPr>
      <w:t>Zob. art. 2 pkt 86 rozporządzenia Komisji (UE) Nr 651/2014 uznającego niektóre rodzaje pomocy za zgodne z rynkiem wewnętrznym w zastosowaniu art. 107 i 108 Traktatu (Dz. Urz. UE L 187 z 26.06.2014, s. 1)</w:t>
    </w:r>
  </w:p>
  <w:p w14:paraId="5162FC5F" w14:textId="77777777" w:rsidR="003A29D2" w:rsidRDefault="003A29D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5F94D" w14:textId="77777777" w:rsidR="00B75C7A" w:rsidRDefault="00B75C7A" w:rsidP="00FE1535">
      <w:pPr>
        <w:spacing w:after="0" w:line="240" w:lineRule="auto"/>
      </w:pPr>
      <w:r>
        <w:separator/>
      </w:r>
    </w:p>
  </w:footnote>
  <w:footnote w:type="continuationSeparator" w:id="0">
    <w:p w14:paraId="342BF1CD" w14:textId="77777777" w:rsidR="00B75C7A" w:rsidRDefault="00B75C7A" w:rsidP="00FE1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44341"/>
    <w:multiLevelType w:val="hybridMultilevel"/>
    <w:tmpl w:val="6D6E7F10"/>
    <w:lvl w:ilvl="0" w:tplc="62BA12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EAF4593"/>
    <w:multiLevelType w:val="hybridMultilevel"/>
    <w:tmpl w:val="6DEC8570"/>
    <w:lvl w:ilvl="0" w:tplc="F3D24A5E">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D29509F"/>
    <w:multiLevelType w:val="hybridMultilevel"/>
    <w:tmpl w:val="887EC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D5"/>
    <w:rsid w:val="00021BBA"/>
    <w:rsid w:val="00024D38"/>
    <w:rsid w:val="0003100A"/>
    <w:rsid w:val="00060800"/>
    <w:rsid w:val="0007480F"/>
    <w:rsid w:val="000C4089"/>
    <w:rsid w:val="000E78F1"/>
    <w:rsid w:val="00111976"/>
    <w:rsid w:val="00114398"/>
    <w:rsid w:val="00194A12"/>
    <w:rsid w:val="001A0BEE"/>
    <w:rsid w:val="001B53A6"/>
    <w:rsid w:val="003A29D2"/>
    <w:rsid w:val="003A6CA5"/>
    <w:rsid w:val="0048019F"/>
    <w:rsid w:val="0049380B"/>
    <w:rsid w:val="004E51C2"/>
    <w:rsid w:val="004E7364"/>
    <w:rsid w:val="00563190"/>
    <w:rsid w:val="00615C4E"/>
    <w:rsid w:val="00691C33"/>
    <w:rsid w:val="006E15E0"/>
    <w:rsid w:val="0081624B"/>
    <w:rsid w:val="00911D28"/>
    <w:rsid w:val="00990F8F"/>
    <w:rsid w:val="009C3DD5"/>
    <w:rsid w:val="009F6C21"/>
    <w:rsid w:val="00A33373"/>
    <w:rsid w:val="00A372D5"/>
    <w:rsid w:val="00AA3DFA"/>
    <w:rsid w:val="00AE5CBF"/>
    <w:rsid w:val="00AE659F"/>
    <w:rsid w:val="00AF6732"/>
    <w:rsid w:val="00B13965"/>
    <w:rsid w:val="00B2362C"/>
    <w:rsid w:val="00B27E64"/>
    <w:rsid w:val="00B75C7A"/>
    <w:rsid w:val="00B76877"/>
    <w:rsid w:val="00B948A5"/>
    <w:rsid w:val="00BA1418"/>
    <w:rsid w:val="00C067A5"/>
    <w:rsid w:val="00C439D6"/>
    <w:rsid w:val="00C77E49"/>
    <w:rsid w:val="00C918A9"/>
    <w:rsid w:val="00D3109D"/>
    <w:rsid w:val="00E27BF0"/>
    <w:rsid w:val="00E52803"/>
    <w:rsid w:val="00E533A2"/>
    <w:rsid w:val="00EF7894"/>
    <w:rsid w:val="00F11544"/>
    <w:rsid w:val="00F21D18"/>
    <w:rsid w:val="00F763BD"/>
    <w:rsid w:val="00FD4764"/>
    <w:rsid w:val="00FD7E43"/>
    <w:rsid w:val="00FE1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95242"/>
  <w15:chartTrackingRefBased/>
  <w15:docId w15:val="{5143ECB9-97AD-4729-96C2-FFF4DC6A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72D5"/>
    <w:pPr>
      <w:spacing w:after="200" w:line="276" w:lineRule="auto"/>
      <w:ind w:left="720"/>
      <w:contextualSpacing/>
    </w:pPr>
  </w:style>
  <w:style w:type="paragraph" w:styleId="Nagwek">
    <w:name w:val="header"/>
    <w:basedOn w:val="Normalny"/>
    <w:link w:val="NagwekZnak"/>
    <w:uiPriority w:val="99"/>
    <w:unhideWhenUsed/>
    <w:rsid w:val="00FE15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535"/>
  </w:style>
  <w:style w:type="paragraph" w:styleId="Stopka">
    <w:name w:val="footer"/>
    <w:basedOn w:val="Normalny"/>
    <w:link w:val="StopkaZnak"/>
    <w:uiPriority w:val="99"/>
    <w:unhideWhenUsed/>
    <w:rsid w:val="00FE15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535"/>
  </w:style>
  <w:style w:type="paragraph" w:styleId="Tekstdymka">
    <w:name w:val="Balloon Text"/>
    <w:basedOn w:val="Normalny"/>
    <w:link w:val="TekstdymkaZnak"/>
    <w:uiPriority w:val="99"/>
    <w:semiHidden/>
    <w:unhideWhenUsed/>
    <w:rsid w:val="00F763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3BD"/>
    <w:rPr>
      <w:rFonts w:ascii="Segoe UI" w:hAnsi="Segoe UI" w:cs="Segoe UI"/>
      <w:sz w:val="18"/>
      <w:szCs w:val="18"/>
    </w:rPr>
  </w:style>
  <w:style w:type="character" w:styleId="Odwoaniedokomentarza">
    <w:name w:val="annotation reference"/>
    <w:basedOn w:val="Domylnaczcionkaakapitu"/>
    <w:uiPriority w:val="99"/>
    <w:semiHidden/>
    <w:unhideWhenUsed/>
    <w:rsid w:val="00111976"/>
    <w:rPr>
      <w:sz w:val="16"/>
      <w:szCs w:val="16"/>
    </w:rPr>
  </w:style>
  <w:style w:type="paragraph" w:styleId="Tekstkomentarza">
    <w:name w:val="annotation text"/>
    <w:basedOn w:val="Normalny"/>
    <w:link w:val="TekstkomentarzaZnak"/>
    <w:uiPriority w:val="99"/>
    <w:semiHidden/>
    <w:unhideWhenUsed/>
    <w:rsid w:val="001119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1976"/>
    <w:rPr>
      <w:sz w:val="20"/>
      <w:szCs w:val="20"/>
    </w:rPr>
  </w:style>
  <w:style w:type="paragraph" w:styleId="Tematkomentarza">
    <w:name w:val="annotation subject"/>
    <w:basedOn w:val="Tekstkomentarza"/>
    <w:next w:val="Tekstkomentarza"/>
    <w:link w:val="TematkomentarzaZnak"/>
    <w:uiPriority w:val="99"/>
    <w:semiHidden/>
    <w:unhideWhenUsed/>
    <w:rsid w:val="00111976"/>
    <w:rPr>
      <w:b/>
      <w:bCs/>
    </w:rPr>
  </w:style>
  <w:style w:type="character" w:customStyle="1" w:styleId="TematkomentarzaZnak">
    <w:name w:val="Temat komentarza Znak"/>
    <w:basedOn w:val="TekstkomentarzaZnak"/>
    <w:link w:val="Tematkomentarza"/>
    <w:uiPriority w:val="99"/>
    <w:semiHidden/>
    <w:rsid w:val="001119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6268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Załącznik do zarzadzenia nr 253/XVI R/2024</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zarzadzenia nr 253/XVI R/2024</dc:title>
  <dc:subject/>
  <dc:creator>Dział Zamówień Publicznych</dc:creator>
  <cp:keywords>zamówienia publiczne</cp:keywords>
  <dc:description/>
  <cp:lastModifiedBy>MMiędlar</cp:lastModifiedBy>
  <cp:revision>2</cp:revision>
  <dcterms:created xsi:type="dcterms:W3CDTF">2026-02-12T07:46:00Z</dcterms:created>
  <dcterms:modified xsi:type="dcterms:W3CDTF">2026-02-12T07:46:00Z</dcterms:modified>
</cp:coreProperties>
</file>