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CFF" w:rsidRDefault="00157E92" w:rsidP="008E101D">
      <w:pPr>
        <w:pStyle w:val="Default"/>
        <w:jc w:val="both"/>
        <w:rPr>
          <w:b/>
          <w:bCs/>
          <w:sz w:val="28"/>
          <w:szCs w:val="23"/>
        </w:rPr>
      </w:pPr>
      <w:r>
        <w:rPr>
          <w:b/>
          <w:bCs/>
          <w:sz w:val="28"/>
          <w:szCs w:val="23"/>
        </w:rPr>
        <w:t>4</w:t>
      </w:r>
      <w:r w:rsidR="00A44878" w:rsidRPr="00A70FB0">
        <w:rPr>
          <w:b/>
          <w:bCs/>
          <w:sz w:val="28"/>
          <w:szCs w:val="23"/>
        </w:rPr>
        <w:t>.</w:t>
      </w:r>
      <w:r w:rsidR="00DA78E6" w:rsidRPr="00A70FB0">
        <w:rPr>
          <w:b/>
          <w:bCs/>
          <w:sz w:val="28"/>
          <w:szCs w:val="23"/>
        </w:rPr>
        <w:t xml:space="preserve"> OZNACZANIE ZAWARTOŚC</w:t>
      </w:r>
      <w:r w:rsidR="00A44878" w:rsidRPr="00A70FB0">
        <w:rPr>
          <w:b/>
          <w:bCs/>
          <w:sz w:val="28"/>
          <w:szCs w:val="23"/>
        </w:rPr>
        <w:t>I AZOT</w:t>
      </w:r>
      <w:r w:rsidR="00231699">
        <w:rPr>
          <w:b/>
          <w:bCs/>
          <w:sz w:val="28"/>
          <w:szCs w:val="23"/>
        </w:rPr>
        <w:t>Y</w:t>
      </w:r>
      <w:r w:rsidR="00A44878" w:rsidRPr="00A70FB0">
        <w:rPr>
          <w:b/>
          <w:bCs/>
          <w:sz w:val="28"/>
          <w:szCs w:val="23"/>
        </w:rPr>
        <w:t xml:space="preserve">NÓW W </w:t>
      </w:r>
      <w:r w:rsidR="003F32D9">
        <w:rPr>
          <w:b/>
          <w:bCs/>
          <w:sz w:val="28"/>
          <w:szCs w:val="23"/>
        </w:rPr>
        <w:t>PRODUKTACH</w:t>
      </w:r>
    </w:p>
    <w:p w:rsidR="00DA78E6" w:rsidRDefault="00CC6CFF" w:rsidP="008E101D">
      <w:pPr>
        <w:pStyle w:val="Default"/>
        <w:jc w:val="both"/>
        <w:rPr>
          <w:b/>
          <w:bCs/>
          <w:sz w:val="28"/>
          <w:szCs w:val="23"/>
        </w:rPr>
      </w:pPr>
      <w:r>
        <w:rPr>
          <w:b/>
          <w:bCs/>
          <w:sz w:val="28"/>
          <w:szCs w:val="23"/>
        </w:rPr>
        <w:t xml:space="preserve">                                                  </w:t>
      </w:r>
      <w:r w:rsidR="003F32D9">
        <w:rPr>
          <w:b/>
          <w:bCs/>
          <w:sz w:val="28"/>
          <w:szCs w:val="23"/>
        </w:rPr>
        <w:t xml:space="preserve"> </w:t>
      </w:r>
      <w:r>
        <w:rPr>
          <w:b/>
          <w:bCs/>
          <w:sz w:val="28"/>
          <w:szCs w:val="23"/>
        </w:rPr>
        <w:t xml:space="preserve"> </w:t>
      </w:r>
      <w:r w:rsidR="003F32D9">
        <w:rPr>
          <w:b/>
          <w:bCs/>
          <w:sz w:val="28"/>
          <w:szCs w:val="23"/>
        </w:rPr>
        <w:t>SPOŻYWCZYCH</w:t>
      </w:r>
    </w:p>
    <w:p w:rsidR="00A941E8" w:rsidRDefault="00A941E8" w:rsidP="008E101D">
      <w:pPr>
        <w:pStyle w:val="Default"/>
        <w:jc w:val="both"/>
        <w:rPr>
          <w:sz w:val="23"/>
          <w:szCs w:val="23"/>
        </w:rPr>
      </w:pPr>
    </w:p>
    <w:p w:rsidR="00231699" w:rsidRPr="00E6084E" w:rsidRDefault="00DA78E6" w:rsidP="008E101D">
      <w:pPr>
        <w:pStyle w:val="Default"/>
        <w:jc w:val="both"/>
        <w:rPr>
          <w:szCs w:val="22"/>
        </w:rPr>
      </w:pPr>
      <w:r w:rsidRPr="00E6084E">
        <w:rPr>
          <w:szCs w:val="22"/>
        </w:rPr>
        <w:t xml:space="preserve">Stosowanie w uprawie roślin dużych dawek nawozów azotowych powoduje kumulowanie </w:t>
      </w:r>
      <w:r w:rsidR="006C192C">
        <w:rPr>
          <w:szCs w:val="22"/>
        </w:rPr>
        <w:t xml:space="preserve">         </w:t>
      </w:r>
      <w:r w:rsidRPr="00E6084E">
        <w:rPr>
          <w:szCs w:val="22"/>
        </w:rPr>
        <w:t>w częściach jadalny</w:t>
      </w:r>
      <w:r w:rsidR="006E7599">
        <w:rPr>
          <w:szCs w:val="22"/>
        </w:rPr>
        <w:t>ch roślin znacznych ilości azota</w:t>
      </w:r>
      <w:r w:rsidRPr="00E6084E">
        <w:rPr>
          <w:szCs w:val="22"/>
        </w:rPr>
        <w:t xml:space="preserve">nów. </w:t>
      </w:r>
      <w:r w:rsidR="00231699" w:rsidRPr="00231699">
        <w:rPr>
          <w:szCs w:val="22"/>
        </w:rPr>
        <w:t>Narażenie na azotany ma charakter egzogenny, podczas gdy narażenie na azotyny ma głównie charakter endogenny poprzez metabolizm azotanów.</w:t>
      </w:r>
      <w:r w:rsidR="00231699">
        <w:rPr>
          <w:szCs w:val="22"/>
        </w:rPr>
        <w:t xml:space="preserve"> </w:t>
      </w:r>
      <w:r w:rsidR="00231699" w:rsidRPr="00231699">
        <w:rPr>
          <w:szCs w:val="22"/>
        </w:rPr>
        <w:t xml:space="preserve">Przyjmuje się, że współczynnik konwersji spożytego azotanu </w:t>
      </w:r>
      <w:r w:rsidR="00EF4344">
        <w:rPr>
          <w:szCs w:val="22"/>
        </w:rPr>
        <w:t xml:space="preserve">do </w:t>
      </w:r>
      <w:r w:rsidR="00231699" w:rsidRPr="00231699">
        <w:rPr>
          <w:szCs w:val="22"/>
        </w:rPr>
        <w:t xml:space="preserve"> azotyn</w:t>
      </w:r>
      <w:r w:rsidR="00EF4344">
        <w:rPr>
          <w:szCs w:val="22"/>
        </w:rPr>
        <w:t>u</w:t>
      </w:r>
      <w:r w:rsidR="00231699" w:rsidRPr="00231699">
        <w:rPr>
          <w:szCs w:val="22"/>
        </w:rPr>
        <w:t xml:space="preserve"> wynosi 7%</w:t>
      </w:r>
      <w:r w:rsidR="00231699">
        <w:rPr>
          <w:szCs w:val="22"/>
        </w:rPr>
        <w:t>.</w:t>
      </w:r>
      <w:r w:rsidR="00231699" w:rsidRPr="00231699">
        <w:rPr>
          <w:rFonts w:ascii="Helvetica" w:hAnsi="Helvetica" w:cs="Helvetica"/>
          <w:color w:val="3C4043"/>
          <w:sz w:val="27"/>
          <w:szCs w:val="27"/>
          <w:shd w:val="clear" w:color="auto" w:fill="F5F5F5"/>
        </w:rPr>
        <w:t xml:space="preserve"> </w:t>
      </w:r>
      <w:r w:rsidR="00231699" w:rsidRPr="00231699">
        <w:rPr>
          <w:szCs w:val="22"/>
        </w:rPr>
        <w:t xml:space="preserve">Według JECFA dopuszczalne dzienne spożycie azotynów wynosi 0–0,07 mg azotynów na kg </w:t>
      </w:r>
      <w:proofErr w:type="spellStart"/>
      <w:r w:rsidR="00231699" w:rsidRPr="00231699">
        <w:rPr>
          <w:szCs w:val="22"/>
        </w:rPr>
        <w:t>m.c</w:t>
      </w:r>
      <w:proofErr w:type="spellEnd"/>
      <w:r w:rsidR="00231699" w:rsidRPr="00231699">
        <w:rPr>
          <w:szCs w:val="22"/>
        </w:rPr>
        <w:t>., co odpowiada 4,2 mg na dzień dla osoby o masie ciała 60 kg</w:t>
      </w:r>
      <w:r w:rsidR="00231699">
        <w:rPr>
          <w:szCs w:val="22"/>
        </w:rPr>
        <w:t>.</w:t>
      </w:r>
      <w:r w:rsidR="00231699" w:rsidRPr="00231699">
        <w:rPr>
          <w:rFonts w:ascii="Helvetica" w:hAnsi="Helvetica" w:cs="Helvetica"/>
          <w:color w:val="3C4043"/>
          <w:sz w:val="27"/>
          <w:szCs w:val="27"/>
          <w:shd w:val="clear" w:color="auto" w:fill="F5F5F5"/>
        </w:rPr>
        <w:t xml:space="preserve"> </w:t>
      </w:r>
      <w:r w:rsidR="00231699" w:rsidRPr="00231699">
        <w:rPr>
          <w:szCs w:val="22"/>
        </w:rPr>
        <w:t>Większość badań koncentruje się na stężeniach azotanów, ponieważ są one głównymi źródłami azotynów. Jednak azotyn</w:t>
      </w:r>
      <w:r w:rsidR="00E30458">
        <w:rPr>
          <w:szCs w:val="22"/>
        </w:rPr>
        <w:t>y</w:t>
      </w:r>
      <w:r w:rsidR="00231699" w:rsidRPr="00231699">
        <w:rPr>
          <w:szCs w:val="22"/>
        </w:rPr>
        <w:t>, któr</w:t>
      </w:r>
      <w:r w:rsidR="00E30458">
        <w:rPr>
          <w:szCs w:val="22"/>
        </w:rPr>
        <w:t>e</w:t>
      </w:r>
      <w:r w:rsidR="00231699" w:rsidRPr="00231699">
        <w:rPr>
          <w:szCs w:val="22"/>
        </w:rPr>
        <w:t xml:space="preserve"> </w:t>
      </w:r>
      <w:r w:rsidR="00E30458">
        <w:rPr>
          <w:szCs w:val="22"/>
        </w:rPr>
        <w:t xml:space="preserve">są </w:t>
      </w:r>
      <w:r w:rsidR="00231699" w:rsidRPr="00231699">
        <w:rPr>
          <w:szCs w:val="22"/>
        </w:rPr>
        <w:t>potencjalnie znacznie bardziej szkodliw</w:t>
      </w:r>
      <w:r w:rsidR="00E30458">
        <w:rPr>
          <w:szCs w:val="22"/>
        </w:rPr>
        <w:t>e</w:t>
      </w:r>
      <w:r w:rsidR="00231699" w:rsidRPr="00231699">
        <w:rPr>
          <w:szCs w:val="22"/>
        </w:rPr>
        <w:t>, w warzywach nie podleg</w:t>
      </w:r>
      <w:r w:rsidR="006A648E">
        <w:rPr>
          <w:szCs w:val="22"/>
        </w:rPr>
        <w:t>ają</w:t>
      </w:r>
      <w:r w:rsidR="00231699" w:rsidRPr="00231699">
        <w:rPr>
          <w:szCs w:val="22"/>
        </w:rPr>
        <w:t xml:space="preserve"> żadnym ograniczeniom regulacyjnym.</w:t>
      </w:r>
    </w:p>
    <w:p w:rsidR="00DA78E6" w:rsidRPr="00A70FB0" w:rsidRDefault="00DA78E6" w:rsidP="008E101D">
      <w:pPr>
        <w:pStyle w:val="Default"/>
        <w:jc w:val="both"/>
        <w:rPr>
          <w:b/>
          <w:bCs/>
          <w:sz w:val="22"/>
          <w:szCs w:val="23"/>
        </w:rPr>
      </w:pPr>
    </w:p>
    <w:p w:rsidR="00DC4270" w:rsidRDefault="00DA78E6" w:rsidP="008E101D">
      <w:pPr>
        <w:pStyle w:val="Default"/>
        <w:jc w:val="both"/>
        <w:rPr>
          <w:szCs w:val="23"/>
        </w:rPr>
      </w:pPr>
      <w:r w:rsidRPr="00A70FB0">
        <w:rPr>
          <w:b/>
          <w:bCs/>
          <w:szCs w:val="23"/>
        </w:rPr>
        <w:t>Zasada metody</w:t>
      </w:r>
    </w:p>
    <w:p w:rsidR="006A648E" w:rsidRDefault="006A648E" w:rsidP="008E101D">
      <w:pPr>
        <w:pStyle w:val="Default"/>
        <w:jc w:val="both"/>
        <w:rPr>
          <w:szCs w:val="23"/>
        </w:rPr>
      </w:pPr>
    </w:p>
    <w:p w:rsidR="006D53C6" w:rsidRPr="006A648E" w:rsidRDefault="00DA78E6" w:rsidP="006D53C6">
      <w:pPr>
        <w:pStyle w:val="Default"/>
        <w:jc w:val="both"/>
        <w:rPr>
          <w:szCs w:val="23"/>
        </w:rPr>
      </w:pPr>
      <w:r w:rsidRPr="00E6084E">
        <w:rPr>
          <w:szCs w:val="23"/>
        </w:rPr>
        <w:t xml:space="preserve">Metoda polega na wywołaniu reakcji barwnej </w:t>
      </w:r>
      <w:r w:rsidR="00156338">
        <w:rPr>
          <w:szCs w:val="23"/>
        </w:rPr>
        <w:t xml:space="preserve">obecnych w </w:t>
      </w:r>
      <w:r w:rsidR="003F32D9">
        <w:rPr>
          <w:szCs w:val="23"/>
        </w:rPr>
        <w:t xml:space="preserve">produktach spożywczych </w:t>
      </w:r>
      <w:r w:rsidR="004152AC">
        <w:rPr>
          <w:szCs w:val="23"/>
        </w:rPr>
        <w:t>azot</w:t>
      </w:r>
      <w:r w:rsidR="00231699">
        <w:rPr>
          <w:szCs w:val="23"/>
        </w:rPr>
        <w:t>y</w:t>
      </w:r>
      <w:r w:rsidR="004152AC">
        <w:rPr>
          <w:szCs w:val="23"/>
        </w:rPr>
        <w:t xml:space="preserve">nów z </w:t>
      </w:r>
      <w:r w:rsidRPr="00E6084E">
        <w:rPr>
          <w:szCs w:val="23"/>
        </w:rPr>
        <w:t>odczynni</w:t>
      </w:r>
      <w:r w:rsidR="006E7599">
        <w:rPr>
          <w:szCs w:val="23"/>
        </w:rPr>
        <w:t>kami</w:t>
      </w:r>
      <w:r w:rsidR="006A648E">
        <w:rPr>
          <w:szCs w:val="23"/>
        </w:rPr>
        <w:t xml:space="preserve"> </w:t>
      </w:r>
      <w:proofErr w:type="spellStart"/>
      <w:r w:rsidRPr="00E6084E">
        <w:rPr>
          <w:szCs w:val="23"/>
        </w:rPr>
        <w:t>Griessa</w:t>
      </w:r>
      <w:proofErr w:type="spellEnd"/>
      <w:r w:rsidR="004152AC">
        <w:rPr>
          <w:szCs w:val="23"/>
        </w:rPr>
        <w:t>.</w:t>
      </w:r>
      <w:r w:rsidR="006E7599">
        <w:rPr>
          <w:szCs w:val="23"/>
        </w:rPr>
        <w:t xml:space="preserve"> </w:t>
      </w:r>
      <w:r w:rsidR="006E7599">
        <w:rPr>
          <w:bCs/>
          <w:color w:val="auto"/>
          <w:szCs w:val="23"/>
        </w:rPr>
        <w:t xml:space="preserve">Odczynnik </w:t>
      </w:r>
      <w:proofErr w:type="spellStart"/>
      <w:r w:rsidR="006E7599">
        <w:rPr>
          <w:bCs/>
          <w:color w:val="auto"/>
          <w:szCs w:val="23"/>
        </w:rPr>
        <w:t>Griessa</w:t>
      </w:r>
      <w:proofErr w:type="spellEnd"/>
      <w:r w:rsidR="006E7599">
        <w:rPr>
          <w:bCs/>
          <w:color w:val="auto"/>
          <w:szCs w:val="23"/>
        </w:rPr>
        <w:t xml:space="preserve"> I </w:t>
      </w:r>
      <w:r w:rsidR="00E21DE2">
        <w:rPr>
          <w:bCs/>
          <w:color w:val="auto"/>
          <w:szCs w:val="23"/>
        </w:rPr>
        <w:t>(</w:t>
      </w:r>
      <w:hyperlink r:id="rId8" w:tooltip="Roztwór" w:history="1">
        <w:r w:rsidR="006D53C6" w:rsidRPr="006D53C6">
          <w:rPr>
            <w:rStyle w:val="Hipercze"/>
            <w:bCs/>
            <w:color w:val="auto"/>
            <w:szCs w:val="23"/>
            <w:u w:val="none"/>
          </w:rPr>
          <w:t>roztwór</w:t>
        </w:r>
      </w:hyperlink>
      <w:r w:rsidR="006E7599">
        <w:rPr>
          <w:bCs/>
          <w:color w:val="auto"/>
          <w:szCs w:val="23"/>
        </w:rPr>
        <w:t xml:space="preserve"> </w:t>
      </w:r>
      <w:hyperlink r:id="rId9" w:tooltip="Kwas sulfanilowy" w:history="1">
        <w:r w:rsidR="006D53C6" w:rsidRPr="006D53C6">
          <w:rPr>
            <w:rStyle w:val="Hipercze"/>
            <w:bCs/>
            <w:color w:val="auto"/>
            <w:szCs w:val="23"/>
            <w:u w:val="none"/>
          </w:rPr>
          <w:t>kwasu</w:t>
        </w:r>
        <w:r w:rsidR="006E7599">
          <w:rPr>
            <w:rStyle w:val="Hipercze"/>
            <w:bCs/>
            <w:color w:val="auto"/>
            <w:szCs w:val="23"/>
            <w:u w:val="none"/>
          </w:rPr>
          <w:t xml:space="preserve"> </w:t>
        </w:r>
        <w:r w:rsidR="006D53C6" w:rsidRPr="006D53C6">
          <w:rPr>
            <w:rStyle w:val="Hipercze"/>
            <w:bCs/>
            <w:color w:val="auto"/>
            <w:szCs w:val="23"/>
            <w:u w:val="none"/>
          </w:rPr>
          <w:t>sulfanilowego</w:t>
        </w:r>
      </w:hyperlink>
      <w:r w:rsidR="006E7599">
        <w:rPr>
          <w:bCs/>
          <w:color w:val="auto"/>
          <w:szCs w:val="23"/>
        </w:rPr>
        <w:t xml:space="preserve"> i </w:t>
      </w:r>
      <w:hyperlink r:id="rId10" w:tooltip="1-Naftyloamina" w:history="1">
        <w:r w:rsidR="006D53C6" w:rsidRPr="006D53C6">
          <w:rPr>
            <w:rStyle w:val="Hipercze"/>
            <w:bCs/>
            <w:color w:val="auto"/>
            <w:szCs w:val="23"/>
            <w:u w:val="none"/>
          </w:rPr>
          <w:t>α-naftyloaminy</w:t>
        </w:r>
      </w:hyperlink>
      <w:r w:rsidR="006E7599">
        <w:rPr>
          <w:bCs/>
          <w:color w:val="auto"/>
          <w:szCs w:val="23"/>
        </w:rPr>
        <w:t xml:space="preserve"> w </w:t>
      </w:r>
      <w:hyperlink r:id="rId11" w:tooltip="Kwas octowy" w:history="1">
        <w:r w:rsidR="006E7599">
          <w:rPr>
            <w:rStyle w:val="Hipercze"/>
            <w:bCs/>
            <w:color w:val="auto"/>
            <w:szCs w:val="23"/>
            <w:u w:val="none"/>
          </w:rPr>
          <w:t xml:space="preserve">kwasie </w:t>
        </w:r>
        <w:r w:rsidR="006D53C6" w:rsidRPr="006D53C6">
          <w:rPr>
            <w:rStyle w:val="Hipercze"/>
            <w:bCs/>
            <w:color w:val="auto"/>
            <w:szCs w:val="23"/>
            <w:u w:val="none"/>
          </w:rPr>
          <w:t>octowym</w:t>
        </w:r>
      </w:hyperlink>
      <w:r w:rsidR="00E21DE2">
        <w:rPr>
          <w:bCs/>
          <w:color w:val="auto"/>
          <w:szCs w:val="23"/>
        </w:rPr>
        <w:t>)</w:t>
      </w:r>
      <w:r w:rsidR="006E7599">
        <w:rPr>
          <w:bCs/>
          <w:color w:val="auto"/>
          <w:szCs w:val="23"/>
        </w:rPr>
        <w:t xml:space="preserve"> jest s</w:t>
      </w:r>
      <w:r w:rsidR="006A648E">
        <w:rPr>
          <w:bCs/>
          <w:color w:val="auto"/>
          <w:szCs w:val="23"/>
        </w:rPr>
        <w:t>tosowany</w:t>
      </w:r>
      <w:r w:rsidR="006E7599">
        <w:rPr>
          <w:bCs/>
          <w:color w:val="auto"/>
          <w:szCs w:val="23"/>
        </w:rPr>
        <w:t xml:space="preserve"> w </w:t>
      </w:r>
      <w:hyperlink r:id="rId12" w:tooltip="Kolorymetria (chemia)" w:history="1">
        <w:r w:rsidR="006D53C6" w:rsidRPr="006D53C6">
          <w:rPr>
            <w:rStyle w:val="Hipercze"/>
            <w:bCs/>
            <w:color w:val="auto"/>
            <w:szCs w:val="23"/>
            <w:u w:val="none"/>
          </w:rPr>
          <w:t>kolorymetrycznej</w:t>
        </w:r>
      </w:hyperlink>
      <w:r w:rsidR="006E7599">
        <w:rPr>
          <w:bCs/>
          <w:color w:val="auto"/>
          <w:szCs w:val="23"/>
        </w:rPr>
        <w:t xml:space="preserve"> </w:t>
      </w:r>
      <w:hyperlink r:id="rId13" w:tooltip="Analiza chemiczna" w:history="1">
        <w:r w:rsidR="006D53C6" w:rsidRPr="006D53C6">
          <w:rPr>
            <w:rStyle w:val="Hipercze"/>
            <w:bCs/>
            <w:color w:val="auto"/>
            <w:szCs w:val="23"/>
            <w:u w:val="none"/>
          </w:rPr>
          <w:t>analizie</w:t>
        </w:r>
      </w:hyperlink>
      <w:r w:rsidR="006E7599">
        <w:rPr>
          <w:bCs/>
          <w:color w:val="auto"/>
          <w:szCs w:val="23"/>
        </w:rPr>
        <w:t xml:space="preserve"> </w:t>
      </w:r>
      <w:hyperlink r:id="rId14" w:tooltip="Azotyny" w:history="1">
        <w:r w:rsidR="006D53C6" w:rsidRPr="006D53C6">
          <w:rPr>
            <w:rStyle w:val="Hipercze"/>
            <w:bCs/>
            <w:color w:val="auto"/>
            <w:szCs w:val="23"/>
            <w:u w:val="none"/>
          </w:rPr>
          <w:t>azotynów</w:t>
        </w:r>
      </w:hyperlink>
      <w:r w:rsidR="006E7599">
        <w:rPr>
          <w:bCs/>
          <w:color w:val="auto"/>
          <w:szCs w:val="23"/>
        </w:rPr>
        <w:t xml:space="preserve"> </w:t>
      </w:r>
      <w:r w:rsidR="006D53C6" w:rsidRPr="006D53C6">
        <w:rPr>
          <w:bCs/>
          <w:color w:val="auto"/>
          <w:szCs w:val="23"/>
        </w:rPr>
        <w:t>(jonów NO</w:t>
      </w:r>
      <w:r w:rsidR="006D53C6" w:rsidRPr="006D53C6">
        <w:rPr>
          <w:bCs/>
          <w:color w:val="auto"/>
          <w:szCs w:val="23"/>
          <w:vertAlign w:val="subscript"/>
        </w:rPr>
        <w:t>2</w:t>
      </w:r>
      <w:r w:rsidR="006D53C6" w:rsidRPr="006D53C6">
        <w:rPr>
          <w:bCs/>
          <w:color w:val="auto"/>
          <w:szCs w:val="23"/>
          <w:vertAlign w:val="superscript"/>
        </w:rPr>
        <w:t>−</w:t>
      </w:r>
      <w:r w:rsidR="006E7599">
        <w:rPr>
          <w:bCs/>
          <w:color w:val="auto"/>
          <w:szCs w:val="23"/>
        </w:rPr>
        <w:t xml:space="preserve">), z którymi daje </w:t>
      </w:r>
      <w:hyperlink r:id="rId15" w:tooltip="Barwniki azowe" w:history="1">
        <w:r w:rsidR="006D53C6" w:rsidRPr="006D53C6">
          <w:rPr>
            <w:rStyle w:val="Hipercze"/>
            <w:bCs/>
            <w:color w:val="auto"/>
            <w:szCs w:val="23"/>
            <w:u w:val="none"/>
          </w:rPr>
          <w:t>barwnik azowy</w:t>
        </w:r>
      </w:hyperlink>
      <w:r w:rsidR="006E7599">
        <w:rPr>
          <w:bCs/>
          <w:color w:val="auto"/>
          <w:szCs w:val="23"/>
        </w:rPr>
        <w:t xml:space="preserve"> </w:t>
      </w:r>
      <w:r w:rsidR="006D53C6" w:rsidRPr="006D53C6">
        <w:rPr>
          <w:bCs/>
          <w:color w:val="auto"/>
          <w:szCs w:val="23"/>
        </w:rPr>
        <w:t>zabarwiaj</w:t>
      </w:r>
      <w:r w:rsidR="006E7599">
        <w:rPr>
          <w:bCs/>
          <w:color w:val="auto"/>
          <w:szCs w:val="23"/>
        </w:rPr>
        <w:t>ący roztwór na kolor różowy lub</w:t>
      </w:r>
      <w:r w:rsidR="006D53C6" w:rsidRPr="006D53C6">
        <w:rPr>
          <w:bCs/>
          <w:color w:val="auto"/>
          <w:szCs w:val="23"/>
        </w:rPr>
        <w:t xml:space="preserve"> przy </w:t>
      </w:r>
      <w:r w:rsidR="006E7599">
        <w:rPr>
          <w:bCs/>
          <w:color w:val="auto"/>
          <w:szCs w:val="23"/>
        </w:rPr>
        <w:t xml:space="preserve">większych stężeniach azotynów </w:t>
      </w:r>
      <w:r w:rsidR="006D53C6" w:rsidRPr="006D53C6">
        <w:rPr>
          <w:bCs/>
          <w:color w:val="auto"/>
          <w:szCs w:val="23"/>
        </w:rPr>
        <w:t>czerwony.</w:t>
      </w:r>
    </w:p>
    <w:p w:rsidR="006D53C6" w:rsidRDefault="006D53C6" w:rsidP="006D53C6">
      <w:pPr>
        <w:pStyle w:val="Default"/>
        <w:jc w:val="both"/>
        <w:rPr>
          <w:bCs/>
          <w:color w:val="auto"/>
          <w:szCs w:val="23"/>
        </w:rPr>
      </w:pPr>
    </w:p>
    <w:p w:rsidR="0084108E" w:rsidRDefault="006D53C6" w:rsidP="00B97891">
      <w:pPr>
        <w:pStyle w:val="Default"/>
        <w:jc w:val="both"/>
        <w:rPr>
          <w:bCs/>
          <w:color w:val="auto"/>
          <w:szCs w:val="23"/>
        </w:rPr>
      </w:pPr>
      <w:r>
        <w:rPr>
          <w:bCs/>
          <w:color w:val="auto"/>
          <w:szCs w:val="23"/>
        </w:rPr>
        <w:t xml:space="preserve">Przebieg </w:t>
      </w:r>
      <w:r w:rsidRPr="006D53C6">
        <w:rPr>
          <w:bCs/>
          <w:color w:val="auto"/>
          <w:szCs w:val="23"/>
        </w:rPr>
        <w:t> </w:t>
      </w:r>
      <w:hyperlink r:id="rId16" w:tooltip="Diazowanie" w:history="1">
        <w:r>
          <w:rPr>
            <w:rStyle w:val="Hipercze"/>
            <w:bCs/>
            <w:color w:val="auto"/>
            <w:szCs w:val="23"/>
            <w:u w:val="none"/>
          </w:rPr>
          <w:t>r</w:t>
        </w:r>
        <w:r w:rsidRPr="006D53C6">
          <w:rPr>
            <w:rStyle w:val="Hipercze"/>
            <w:bCs/>
            <w:color w:val="auto"/>
            <w:szCs w:val="23"/>
            <w:u w:val="none"/>
          </w:rPr>
          <w:t>eakcj</w:t>
        </w:r>
        <w:r>
          <w:rPr>
            <w:rStyle w:val="Hipercze"/>
            <w:bCs/>
            <w:color w:val="auto"/>
            <w:szCs w:val="23"/>
            <w:u w:val="none"/>
          </w:rPr>
          <w:t>i</w:t>
        </w:r>
        <w:r w:rsidRPr="006D53C6">
          <w:rPr>
            <w:rStyle w:val="Hipercze"/>
            <w:bCs/>
            <w:color w:val="auto"/>
            <w:szCs w:val="23"/>
            <w:u w:val="none"/>
          </w:rPr>
          <w:t xml:space="preserve"> </w:t>
        </w:r>
        <w:proofErr w:type="spellStart"/>
        <w:r w:rsidRPr="006D53C6">
          <w:rPr>
            <w:rStyle w:val="Hipercze"/>
            <w:bCs/>
            <w:color w:val="auto"/>
            <w:szCs w:val="23"/>
            <w:u w:val="none"/>
          </w:rPr>
          <w:t>diazowania</w:t>
        </w:r>
        <w:proofErr w:type="spellEnd"/>
      </w:hyperlink>
      <w:r>
        <w:rPr>
          <w:bCs/>
          <w:color w:val="auto"/>
          <w:szCs w:val="23"/>
        </w:rPr>
        <w:t xml:space="preserve"> </w:t>
      </w:r>
      <w:r w:rsidR="00B97891">
        <w:rPr>
          <w:bCs/>
          <w:color w:val="auto"/>
          <w:szCs w:val="23"/>
        </w:rPr>
        <w:t>z 1-naftylo</w:t>
      </w:r>
      <w:r w:rsidRPr="006D53C6">
        <w:rPr>
          <w:bCs/>
          <w:color w:val="auto"/>
          <w:szCs w:val="23"/>
        </w:rPr>
        <w:t>aminą:</w:t>
      </w:r>
    </w:p>
    <w:p w:rsidR="00B97891" w:rsidRPr="00B97891" w:rsidRDefault="00B97891" w:rsidP="00B97891">
      <w:pPr>
        <w:pStyle w:val="Default"/>
        <w:jc w:val="both"/>
        <w:rPr>
          <w:bCs/>
          <w:color w:val="auto"/>
          <w:szCs w:val="23"/>
        </w:rPr>
      </w:pPr>
    </w:p>
    <w:p w:rsidR="00B24FB4" w:rsidRDefault="0084108E" w:rsidP="006A648E">
      <w:pPr>
        <w:pStyle w:val="Default"/>
        <w:jc w:val="center"/>
        <w:rPr>
          <w:b/>
          <w:bCs/>
          <w:szCs w:val="23"/>
        </w:rPr>
      </w:pPr>
      <w:r>
        <w:rPr>
          <w:noProof/>
          <w:lang w:eastAsia="pl-PL"/>
        </w:rPr>
        <w:drawing>
          <wp:inline distT="0" distB="0" distL="0" distR="0" wp14:anchorId="2F06E490" wp14:editId="367F4627">
            <wp:extent cx="5381625" cy="3810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t="11111"/>
                    <a:stretch/>
                  </pic:blipFill>
                  <pic:spPr bwMode="auto">
                    <a:xfrm>
                      <a:off x="0" y="0"/>
                      <a:ext cx="5381625" cy="381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24FB4" w:rsidRDefault="00B24FB4" w:rsidP="008E101D">
      <w:pPr>
        <w:pStyle w:val="Default"/>
        <w:jc w:val="both"/>
        <w:rPr>
          <w:b/>
          <w:bCs/>
        </w:rPr>
      </w:pPr>
    </w:p>
    <w:p w:rsidR="006A648E" w:rsidRPr="00156338" w:rsidRDefault="00DA78E6" w:rsidP="008E101D">
      <w:pPr>
        <w:pStyle w:val="Default"/>
        <w:jc w:val="both"/>
        <w:rPr>
          <w:b/>
          <w:bCs/>
        </w:rPr>
      </w:pPr>
      <w:r w:rsidRPr="00A70FB0">
        <w:rPr>
          <w:b/>
          <w:bCs/>
        </w:rPr>
        <w:t>Odczynniki</w:t>
      </w:r>
    </w:p>
    <w:p w:rsidR="006C169F" w:rsidRPr="004C4A56" w:rsidRDefault="00B01DE6" w:rsidP="008E101D">
      <w:pPr>
        <w:pStyle w:val="Default"/>
        <w:numPr>
          <w:ilvl w:val="0"/>
          <w:numId w:val="1"/>
        </w:numPr>
        <w:jc w:val="both"/>
      </w:pPr>
      <w:r>
        <w:t xml:space="preserve">10,6% </w:t>
      </w:r>
      <w:proofErr w:type="spellStart"/>
      <w:r w:rsidR="009860DA">
        <w:t>h</w:t>
      </w:r>
      <w:r w:rsidR="00B97891">
        <w:t>eksocyjanożelazian</w:t>
      </w:r>
      <w:proofErr w:type="spellEnd"/>
      <w:r w:rsidR="00B97891">
        <w:t xml:space="preserve"> potasu [</w:t>
      </w:r>
      <w:r w:rsidR="00DA78E6" w:rsidRPr="00E6084E">
        <w:t>K</w:t>
      </w:r>
      <w:r w:rsidR="00C45126">
        <w:rPr>
          <w:vertAlign w:val="subscript"/>
        </w:rPr>
        <w:t>4</w:t>
      </w:r>
      <w:r w:rsidR="00DA78E6" w:rsidRPr="00E6084E">
        <w:t>Fe(CN)</w:t>
      </w:r>
      <w:r w:rsidR="00C45126">
        <w:rPr>
          <w:vertAlign w:val="subscript"/>
        </w:rPr>
        <w:t>6</w:t>
      </w:r>
      <w:r w:rsidR="00B97891">
        <w:t>]</w:t>
      </w:r>
      <w:r w:rsidR="00617AA5" w:rsidRPr="004C4A56">
        <w:t xml:space="preserve"> </w:t>
      </w:r>
      <w:r w:rsidR="00DA78E6" w:rsidRPr="004C4A56">
        <w:t>(</w:t>
      </w:r>
      <w:r w:rsidR="00DA78E6" w:rsidRPr="004C4A56">
        <w:rPr>
          <w:iCs/>
        </w:rPr>
        <w:t>odczynnik odbiałczający)</w:t>
      </w:r>
    </w:p>
    <w:p w:rsidR="00DA78E6" w:rsidRPr="004C4A56" w:rsidRDefault="00B01DE6" w:rsidP="008E101D">
      <w:pPr>
        <w:pStyle w:val="Default"/>
        <w:numPr>
          <w:ilvl w:val="0"/>
          <w:numId w:val="1"/>
        </w:numPr>
        <w:jc w:val="both"/>
      </w:pPr>
      <w:r>
        <w:t xml:space="preserve">22% </w:t>
      </w:r>
      <w:r w:rsidR="006E7599">
        <w:t xml:space="preserve">octan cynku, </w:t>
      </w:r>
      <w:r w:rsidR="00617AA5" w:rsidRPr="004C4A56">
        <w:t>Zn(CH</w:t>
      </w:r>
      <w:r w:rsidR="00C45126">
        <w:rPr>
          <w:vertAlign w:val="subscript"/>
        </w:rPr>
        <w:t>3</w:t>
      </w:r>
      <w:r w:rsidR="00617AA5" w:rsidRPr="004C4A56">
        <w:t>COO)</w:t>
      </w:r>
      <w:r w:rsidR="00C45126">
        <w:rPr>
          <w:vertAlign w:val="subscript"/>
        </w:rPr>
        <w:t>2</w:t>
      </w:r>
      <w:r w:rsidR="00B97891">
        <w:t xml:space="preserve"> z </w:t>
      </w:r>
      <w:r w:rsidR="00B97891" w:rsidRPr="00E6084E">
        <w:t>CH</w:t>
      </w:r>
      <w:r w:rsidR="00B97891">
        <w:rPr>
          <w:vertAlign w:val="subscript"/>
        </w:rPr>
        <w:t>3</w:t>
      </w:r>
      <w:r w:rsidR="00B97891" w:rsidRPr="00E6084E">
        <w:t>COOH</w:t>
      </w:r>
      <w:r w:rsidR="00B97891" w:rsidRPr="004C4A56">
        <w:t xml:space="preserve"> </w:t>
      </w:r>
      <w:r w:rsidR="00DA78E6" w:rsidRPr="004C4A56">
        <w:t>(</w:t>
      </w:r>
      <w:r w:rsidR="00DA78E6" w:rsidRPr="004C4A56">
        <w:rPr>
          <w:iCs/>
        </w:rPr>
        <w:t>odczynnik odbiałczający</w:t>
      </w:r>
      <w:r w:rsidR="00DA78E6" w:rsidRPr="004C4A56">
        <w:t>)</w:t>
      </w:r>
    </w:p>
    <w:p w:rsidR="00DA78E6" w:rsidRPr="00E6084E" w:rsidRDefault="00B01DE6" w:rsidP="008E101D">
      <w:pPr>
        <w:pStyle w:val="Default"/>
        <w:numPr>
          <w:ilvl w:val="0"/>
          <w:numId w:val="1"/>
        </w:numPr>
        <w:jc w:val="both"/>
      </w:pPr>
      <w:r>
        <w:t xml:space="preserve">5% </w:t>
      </w:r>
      <w:proofErr w:type="spellStart"/>
      <w:r w:rsidR="00DA78E6" w:rsidRPr="00E6084E">
        <w:t>tetra</w:t>
      </w:r>
      <w:r w:rsidR="00617AA5">
        <w:t>boran</w:t>
      </w:r>
      <w:proofErr w:type="spellEnd"/>
      <w:r w:rsidR="00617AA5">
        <w:t xml:space="preserve"> </w:t>
      </w:r>
      <w:proofErr w:type="spellStart"/>
      <w:r w:rsidR="00617AA5">
        <w:t>disodu</w:t>
      </w:r>
      <w:proofErr w:type="spellEnd"/>
      <w:r w:rsidR="00B97891">
        <w:t xml:space="preserve"> (boraks) [</w:t>
      </w:r>
      <w:r w:rsidR="00617AA5">
        <w:t>Na</w:t>
      </w:r>
      <w:r w:rsidR="00C45126">
        <w:rPr>
          <w:vertAlign w:val="subscript"/>
        </w:rPr>
        <w:t>2</w:t>
      </w:r>
      <w:r w:rsidR="00617AA5">
        <w:t>B</w:t>
      </w:r>
      <w:r w:rsidR="00C45126">
        <w:rPr>
          <w:vertAlign w:val="subscript"/>
        </w:rPr>
        <w:t>4</w:t>
      </w:r>
      <w:r w:rsidR="00617AA5">
        <w:t>O</w:t>
      </w:r>
      <w:r w:rsidR="00C45126">
        <w:rPr>
          <w:vertAlign w:val="subscript"/>
        </w:rPr>
        <w:t>7</w:t>
      </w:r>
      <w:r w:rsidR="00B97891">
        <w:t>]</w:t>
      </w:r>
    </w:p>
    <w:p w:rsidR="001A0677" w:rsidRPr="001A0677" w:rsidRDefault="00B97891" w:rsidP="0047667F">
      <w:pPr>
        <w:pStyle w:val="Default"/>
        <w:numPr>
          <w:ilvl w:val="0"/>
          <w:numId w:val="1"/>
        </w:numPr>
        <w:jc w:val="both"/>
      </w:pPr>
      <w:r>
        <w:t xml:space="preserve">standard </w:t>
      </w:r>
      <w:r w:rsidR="00617AA5">
        <w:t>azot</w:t>
      </w:r>
      <w:r w:rsidR="00231699">
        <w:t>y</w:t>
      </w:r>
      <w:r w:rsidR="00617AA5">
        <w:t>n</w:t>
      </w:r>
      <w:r>
        <w:t>u</w:t>
      </w:r>
      <w:r w:rsidR="00617AA5">
        <w:t xml:space="preserve"> sodu</w:t>
      </w:r>
      <w:r>
        <w:t xml:space="preserve"> 69 </w:t>
      </w:r>
      <w:r>
        <w:rPr>
          <w:rFonts w:ascii="Calibri" w:hAnsi="Calibri" w:cs="Calibri"/>
        </w:rPr>
        <w:t>µ</w:t>
      </w:r>
      <w:r>
        <w:t>g/ml [</w:t>
      </w:r>
      <w:r w:rsidR="00617AA5">
        <w:t>NaNO</w:t>
      </w:r>
      <w:r w:rsidR="001A0677" w:rsidRPr="001A0677">
        <w:rPr>
          <w:vertAlign w:val="subscript"/>
        </w:rPr>
        <w:t>2</w:t>
      </w:r>
      <w:r>
        <w:t>]</w:t>
      </w:r>
    </w:p>
    <w:p w:rsidR="00AE17C2" w:rsidRDefault="00DA78E6" w:rsidP="0047667F">
      <w:pPr>
        <w:pStyle w:val="Default"/>
        <w:numPr>
          <w:ilvl w:val="0"/>
          <w:numId w:val="1"/>
        </w:numPr>
        <w:jc w:val="both"/>
      </w:pPr>
      <w:r w:rsidRPr="00E6084E">
        <w:t>kwas octowy</w:t>
      </w:r>
      <w:r w:rsidR="00B97891">
        <w:t xml:space="preserve"> lodowaty</w:t>
      </w:r>
      <w:r w:rsidR="006E7599">
        <w:t xml:space="preserve"> [</w:t>
      </w:r>
      <w:r w:rsidRPr="00E6084E">
        <w:t>CH</w:t>
      </w:r>
      <w:r w:rsidR="001A0677">
        <w:rPr>
          <w:vertAlign w:val="subscript"/>
        </w:rPr>
        <w:t>3</w:t>
      </w:r>
      <w:r w:rsidRPr="00E6084E">
        <w:t>COOH</w:t>
      </w:r>
      <w:r w:rsidR="006E7599">
        <w:t>]</w:t>
      </w:r>
    </w:p>
    <w:p w:rsidR="00DA78E6" w:rsidRPr="00E6084E" w:rsidRDefault="00AE17C2" w:rsidP="008E101D">
      <w:pPr>
        <w:pStyle w:val="Default"/>
        <w:numPr>
          <w:ilvl w:val="0"/>
          <w:numId w:val="1"/>
        </w:numPr>
        <w:jc w:val="both"/>
      </w:pPr>
      <w:r>
        <w:t>węgiel aktywny (do odbarwienia przesączu)</w:t>
      </w:r>
    </w:p>
    <w:p w:rsidR="004A7742" w:rsidRPr="00E6084E" w:rsidRDefault="004A7742" w:rsidP="001A0677">
      <w:pPr>
        <w:pStyle w:val="Default"/>
        <w:numPr>
          <w:ilvl w:val="0"/>
          <w:numId w:val="1"/>
        </w:numPr>
        <w:jc w:val="both"/>
      </w:pPr>
      <w:r w:rsidRPr="00E6084E">
        <w:t xml:space="preserve">odczynnik </w:t>
      </w:r>
      <w:proofErr w:type="spellStart"/>
      <w:r w:rsidRPr="00E6084E">
        <w:t>Griessa</w:t>
      </w:r>
      <w:proofErr w:type="spellEnd"/>
      <w:r w:rsidRPr="00E6084E">
        <w:t xml:space="preserve"> I</w:t>
      </w:r>
      <w:r w:rsidR="001A0677">
        <w:t xml:space="preserve"> (</w:t>
      </w:r>
      <w:r w:rsidR="00B97891">
        <w:t>kwas sulfanilowy, 0,1% α-naftyloamina w 30% kwasie octowym</w:t>
      </w:r>
      <w:r w:rsidR="001A0677">
        <w:t>)</w:t>
      </w:r>
    </w:p>
    <w:p w:rsidR="00DA78E6" w:rsidRPr="00E6084E" w:rsidRDefault="004A7742" w:rsidP="00B97891">
      <w:pPr>
        <w:pStyle w:val="Default"/>
        <w:numPr>
          <w:ilvl w:val="0"/>
          <w:numId w:val="1"/>
        </w:numPr>
        <w:jc w:val="both"/>
      </w:pPr>
      <w:r w:rsidRPr="00E6084E">
        <w:t xml:space="preserve">odczynnik </w:t>
      </w:r>
      <w:proofErr w:type="spellStart"/>
      <w:r w:rsidRPr="00E6084E">
        <w:t>Griessa</w:t>
      </w:r>
      <w:proofErr w:type="spellEnd"/>
      <w:r w:rsidR="001A0677">
        <w:t xml:space="preserve"> </w:t>
      </w:r>
      <w:r w:rsidRPr="00E6084E">
        <w:t>II</w:t>
      </w:r>
      <w:r w:rsidR="001A0677">
        <w:t xml:space="preserve"> (</w:t>
      </w:r>
      <w:r w:rsidR="00B97891">
        <w:t>kwas sulfanilowy w kwasie octowym</w:t>
      </w:r>
      <w:r w:rsidR="001A0677">
        <w:t>)</w:t>
      </w:r>
    </w:p>
    <w:p w:rsidR="00157E92" w:rsidRDefault="00157E92" w:rsidP="008E101D">
      <w:pPr>
        <w:pStyle w:val="Default"/>
        <w:jc w:val="both"/>
        <w:rPr>
          <w:color w:val="auto"/>
        </w:rPr>
      </w:pPr>
    </w:p>
    <w:p w:rsidR="00DA78E6" w:rsidRDefault="003C3C41" w:rsidP="008E101D">
      <w:pPr>
        <w:pStyle w:val="Default"/>
        <w:jc w:val="both"/>
        <w:rPr>
          <w:color w:val="auto"/>
        </w:rPr>
      </w:pPr>
      <w:r>
        <w:rPr>
          <w:color w:val="auto"/>
        </w:rPr>
        <w:t xml:space="preserve">Odczynniki </w:t>
      </w:r>
      <w:proofErr w:type="spellStart"/>
      <w:r>
        <w:rPr>
          <w:color w:val="auto"/>
        </w:rPr>
        <w:t>Griessa</w:t>
      </w:r>
      <w:proofErr w:type="spellEnd"/>
      <w:r w:rsidR="00DA78E6" w:rsidRPr="0096062D">
        <w:rPr>
          <w:color w:val="auto"/>
        </w:rPr>
        <w:t xml:space="preserve"> należy przechowywać w ciemnej butelce w lodó</w:t>
      </w:r>
      <w:r w:rsidR="004A7742" w:rsidRPr="0096062D">
        <w:rPr>
          <w:color w:val="auto"/>
        </w:rPr>
        <w:t>wce.</w:t>
      </w:r>
    </w:p>
    <w:p w:rsidR="00B24FB4" w:rsidRPr="0096062D" w:rsidRDefault="00B24FB4" w:rsidP="008E101D">
      <w:pPr>
        <w:pStyle w:val="Default"/>
        <w:jc w:val="both"/>
        <w:rPr>
          <w:color w:val="auto"/>
        </w:rPr>
      </w:pPr>
    </w:p>
    <w:p w:rsidR="00E6084E" w:rsidRDefault="00DA78E6" w:rsidP="008E101D">
      <w:pPr>
        <w:pStyle w:val="Default"/>
        <w:jc w:val="both"/>
        <w:rPr>
          <w:b/>
          <w:bCs/>
        </w:rPr>
      </w:pPr>
      <w:r w:rsidRPr="00A70FB0">
        <w:rPr>
          <w:b/>
          <w:bCs/>
        </w:rPr>
        <w:t xml:space="preserve">Przygotowanie </w:t>
      </w:r>
      <w:r w:rsidR="00DC4270">
        <w:rPr>
          <w:b/>
          <w:bCs/>
        </w:rPr>
        <w:t xml:space="preserve"> krzywej wzorcowej</w:t>
      </w:r>
    </w:p>
    <w:p w:rsidR="00F338C8" w:rsidRDefault="00F338C8" w:rsidP="008E101D">
      <w:pPr>
        <w:pStyle w:val="Default"/>
        <w:jc w:val="both"/>
        <w:rPr>
          <w:b/>
          <w:bCs/>
        </w:rPr>
      </w:pPr>
    </w:p>
    <w:p w:rsidR="00233D0F" w:rsidRDefault="00DC4270" w:rsidP="00A47A09">
      <w:pPr>
        <w:pStyle w:val="Default"/>
        <w:jc w:val="both"/>
        <w:rPr>
          <w:bCs/>
        </w:rPr>
      </w:pPr>
      <w:r w:rsidRPr="00DC4270">
        <w:rPr>
          <w:bCs/>
        </w:rPr>
        <w:t xml:space="preserve">Do probówek </w:t>
      </w:r>
      <w:r w:rsidR="006E7599">
        <w:rPr>
          <w:bCs/>
        </w:rPr>
        <w:t>szklanych o objętości 10</w:t>
      </w:r>
      <w:r w:rsidR="00A47A09">
        <w:rPr>
          <w:bCs/>
        </w:rPr>
        <w:t xml:space="preserve"> </w:t>
      </w:r>
      <w:r>
        <w:rPr>
          <w:bCs/>
        </w:rPr>
        <w:t xml:space="preserve">ml </w:t>
      </w:r>
      <w:proofErr w:type="spellStart"/>
      <w:r>
        <w:rPr>
          <w:bCs/>
        </w:rPr>
        <w:t>odpipetować</w:t>
      </w:r>
      <w:proofErr w:type="spellEnd"/>
      <w:r>
        <w:rPr>
          <w:bCs/>
        </w:rPr>
        <w:t xml:space="preserve"> roztwór wzorcowy azot</w:t>
      </w:r>
      <w:r w:rsidR="00231699">
        <w:rPr>
          <w:bCs/>
        </w:rPr>
        <w:t>y</w:t>
      </w:r>
      <w:r>
        <w:rPr>
          <w:bCs/>
        </w:rPr>
        <w:t xml:space="preserve">nu sodu i wody w odpowiednich ilościach przedstawionych </w:t>
      </w:r>
      <w:r w:rsidR="00F338C8">
        <w:rPr>
          <w:bCs/>
        </w:rPr>
        <w:t xml:space="preserve">w </w:t>
      </w:r>
      <w:r w:rsidR="003C3C41">
        <w:rPr>
          <w:bCs/>
        </w:rPr>
        <w:t xml:space="preserve">poniższej </w:t>
      </w:r>
      <w:r w:rsidR="00F338C8">
        <w:rPr>
          <w:bCs/>
        </w:rPr>
        <w:t>tabelce.</w:t>
      </w:r>
    </w:p>
    <w:p w:rsidR="00A47A09" w:rsidRPr="00A47A09" w:rsidRDefault="00A47A09" w:rsidP="00A47A09">
      <w:pPr>
        <w:pStyle w:val="Default"/>
        <w:jc w:val="both"/>
        <w:rPr>
          <w:bCs/>
        </w:rPr>
      </w:pPr>
    </w:p>
    <w:tbl>
      <w:tblPr>
        <w:tblStyle w:val="Tabela-Siatka"/>
        <w:tblpPr w:leftFromText="141" w:rightFromText="141" w:vertAnchor="text" w:tblpY="68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1132"/>
        <w:gridCol w:w="1204"/>
        <w:gridCol w:w="1204"/>
        <w:gridCol w:w="1204"/>
        <w:gridCol w:w="1204"/>
      </w:tblGrid>
      <w:tr w:rsidR="00A70FB0" w:rsidTr="003C3C41">
        <w:trPr>
          <w:trHeight w:val="474"/>
        </w:trPr>
        <w:tc>
          <w:tcPr>
            <w:tcW w:w="1696" w:type="dxa"/>
            <w:vAlign w:val="center"/>
          </w:tcPr>
          <w:p w:rsidR="00A70FB0" w:rsidRPr="00A47A09" w:rsidRDefault="00A47A09" w:rsidP="00A70FB0">
            <w:pPr>
              <w:pStyle w:val="Default"/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s</w:t>
            </w:r>
            <w:r w:rsidR="00A70FB0" w:rsidRPr="00A47A09">
              <w:rPr>
                <w:b/>
                <w:sz w:val="22"/>
                <w:szCs w:val="20"/>
              </w:rPr>
              <w:t>tęż</w:t>
            </w:r>
            <w:r w:rsidR="00691886" w:rsidRPr="00A47A09">
              <w:rPr>
                <w:b/>
                <w:sz w:val="22"/>
                <w:szCs w:val="20"/>
              </w:rPr>
              <w:t>enie</w:t>
            </w:r>
            <w:r w:rsidR="00A70FB0" w:rsidRPr="00A47A09">
              <w:rPr>
                <w:b/>
                <w:sz w:val="22"/>
                <w:szCs w:val="20"/>
              </w:rPr>
              <w:t xml:space="preserve"> NO</w:t>
            </w:r>
            <w:r w:rsidR="009D7B87" w:rsidRPr="00A47A09">
              <w:rPr>
                <w:b/>
                <w:sz w:val="22"/>
                <w:szCs w:val="20"/>
                <w:vertAlign w:val="subscript"/>
              </w:rPr>
              <w:t>2</w:t>
            </w:r>
            <w:r w:rsidR="009D7B87" w:rsidRPr="00A47A09">
              <w:rPr>
                <w:b/>
                <w:sz w:val="22"/>
                <w:szCs w:val="20"/>
                <w:vertAlign w:val="superscript"/>
              </w:rPr>
              <w:t>-</w:t>
            </w:r>
            <w:r w:rsidR="00A70FB0" w:rsidRPr="00A47A09">
              <w:rPr>
                <w:b/>
                <w:sz w:val="22"/>
                <w:szCs w:val="20"/>
              </w:rPr>
              <w:t xml:space="preserve"> [</w:t>
            </w:r>
            <w:proofErr w:type="spellStart"/>
            <w:r w:rsidR="00A70FB0" w:rsidRPr="00A47A09">
              <w:rPr>
                <w:b/>
                <w:color w:val="auto"/>
                <w:sz w:val="22"/>
                <w:szCs w:val="20"/>
              </w:rPr>
              <w:t>μg</w:t>
            </w:r>
            <w:proofErr w:type="spellEnd"/>
            <w:r w:rsidR="00A70FB0" w:rsidRPr="00A47A09">
              <w:rPr>
                <w:b/>
                <w:sz w:val="22"/>
                <w:szCs w:val="20"/>
              </w:rPr>
              <w:t>/ml]</w:t>
            </w:r>
          </w:p>
        </w:tc>
        <w:tc>
          <w:tcPr>
            <w:tcW w:w="1418" w:type="dxa"/>
            <w:vAlign w:val="center"/>
          </w:tcPr>
          <w:p w:rsidR="00A70FB0" w:rsidRPr="00A47A09" w:rsidRDefault="00A70FB0" w:rsidP="00A70FB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A47A09">
              <w:rPr>
                <w:rFonts w:ascii="Times New Roman" w:hAnsi="Times New Roman" w:cs="Times New Roman"/>
                <w:b/>
                <w:szCs w:val="20"/>
              </w:rPr>
              <w:t>0,138</w:t>
            </w:r>
          </w:p>
        </w:tc>
        <w:tc>
          <w:tcPr>
            <w:tcW w:w="1132" w:type="dxa"/>
            <w:vAlign w:val="center"/>
          </w:tcPr>
          <w:p w:rsidR="00A70FB0" w:rsidRPr="00A47A09" w:rsidRDefault="00A70FB0" w:rsidP="00A70FB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A47A09">
              <w:rPr>
                <w:rFonts w:ascii="Times New Roman" w:hAnsi="Times New Roman" w:cs="Times New Roman"/>
                <w:b/>
                <w:szCs w:val="20"/>
              </w:rPr>
              <w:t>0,276</w:t>
            </w:r>
          </w:p>
        </w:tc>
        <w:tc>
          <w:tcPr>
            <w:tcW w:w="1204" w:type="dxa"/>
            <w:vAlign w:val="center"/>
          </w:tcPr>
          <w:p w:rsidR="00A70FB0" w:rsidRPr="00A47A09" w:rsidRDefault="00A70FB0" w:rsidP="00A70FB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A47A09">
              <w:rPr>
                <w:rFonts w:ascii="Times New Roman" w:hAnsi="Times New Roman" w:cs="Times New Roman"/>
                <w:b/>
                <w:szCs w:val="20"/>
              </w:rPr>
              <w:t>0,552</w:t>
            </w:r>
          </w:p>
        </w:tc>
        <w:tc>
          <w:tcPr>
            <w:tcW w:w="1204" w:type="dxa"/>
            <w:vAlign w:val="center"/>
          </w:tcPr>
          <w:p w:rsidR="00A70FB0" w:rsidRPr="00A47A09" w:rsidRDefault="00A70FB0" w:rsidP="00A70FB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A47A09">
              <w:rPr>
                <w:rFonts w:ascii="Times New Roman" w:hAnsi="Times New Roman" w:cs="Times New Roman"/>
                <w:b/>
                <w:szCs w:val="20"/>
              </w:rPr>
              <w:t>0,69</w:t>
            </w:r>
            <w:r w:rsidR="00AE2713" w:rsidRPr="00A47A09">
              <w:rPr>
                <w:rFonts w:ascii="Times New Roman" w:hAnsi="Times New Roman" w:cs="Times New Roman"/>
                <w:b/>
                <w:szCs w:val="20"/>
              </w:rPr>
              <w:t>0</w:t>
            </w:r>
          </w:p>
        </w:tc>
        <w:tc>
          <w:tcPr>
            <w:tcW w:w="1204" w:type="dxa"/>
            <w:vAlign w:val="center"/>
          </w:tcPr>
          <w:p w:rsidR="00A70FB0" w:rsidRPr="00A47A09" w:rsidRDefault="00A70FB0" w:rsidP="00A70FB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A47A09">
              <w:rPr>
                <w:rFonts w:ascii="Times New Roman" w:hAnsi="Times New Roman" w:cs="Times New Roman"/>
                <w:b/>
                <w:szCs w:val="20"/>
              </w:rPr>
              <w:t>0,828</w:t>
            </w:r>
          </w:p>
        </w:tc>
        <w:tc>
          <w:tcPr>
            <w:tcW w:w="1204" w:type="dxa"/>
            <w:vAlign w:val="center"/>
          </w:tcPr>
          <w:p w:rsidR="00A70FB0" w:rsidRPr="00A47A09" w:rsidRDefault="00A70FB0" w:rsidP="00A70FB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A47A09">
              <w:rPr>
                <w:rFonts w:ascii="Times New Roman" w:hAnsi="Times New Roman" w:cs="Times New Roman"/>
                <w:b/>
                <w:szCs w:val="20"/>
              </w:rPr>
              <w:t>1,035</w:t>
            </w:r>
          </w:p>
        </w:tc>
      </w:tr>
      <w:tr w:rsidR="00A70FB0" w:rsidTr="003C3C41">
        <w:trPr>
          <w:trHeight w:val="474"/>
        </w:trPr>
        <w:tc>
          <w:tcPr>
            <w:tcW w:w="1696" w:type="dxa"/>
            <w:vAlign w:val="center"/>
          </w:tcPr>
          <w:p w:rsidR="006C192C" w:rsidRDefault="006C192C" w:rsidP="006C192C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      </w:t>
            </w:r>
            <w:r w:rsidR="00A47A09">
              <w:rPr>
                <w:rFonts w:ascii="Times New Roman" w:hAnsi="Times New Roman" w:cs="Times New Roman"/>
                <w:b/>
                <w:szCs w:val="20"/>
              </w:rPr>
              <w:t>obję</w:t>
            </w:r>
            <w:r w:rsidR="00691886" w:rsidRPr="00A47A09">
              <w:rPr>
                <w:rFonts w:ascii="Times New Roman" w:hAnsi="Times New Roman" w:cs="Times New Roman"/>
                <w:b/>
                <w:szCs w:val="20"/>
              </w:rPr>
              <w:t xml:space="preserve">tość </w:t>
            </w:r>
          </w:p>
          <w:p w:rsidR="006C192C" w:rsidRDefault="006C192C" w:rsidP="006C192C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    </w:t>
            </w:r>
            <w:r w:rsidR="00A70FB0" w:rsidRPr="00A47A09">
              <w:rPr>
                <w:rFonts w:ascii="Times New Roman" w:hAnsi="Times New Roman" w:cs="Times New Roman"/>
                <w:b/>
                <w:szCs w:val="20"/>
              </w:rPr>
              <w:t xml:space="preserve">standardu </w:t>
            </w:r>
          </w:p>
          <w:p w:rsidR="00A70FB0" w:rsidRPr="006C192C" w:rsidRDefault="00A70FB0" w:rsidP="006C192C">
            <w:pPr>
              <w:jc w:val="center"/>
              <w:rPr>
                <w:b/>
                <w:szCs w:val="20"/>
              </w:rPr>
            </w:pPr>
            <w:r w:rsidRPr="00A47A09">
              <w:rPr>
                <w:rFonts w:ascii="Times New Roman" w:hAnsi="Times New Roman" w:cs="Times New Roman"/>
                <w:b/>
                <w:szCs w:val="20"/>
              </w:rPr>
              <w:t>[</w:t>
            </w:r>
            <w:proofErr w:type="spellStart"/>
            <w:r w:rsidRPr="00A47A09">
              <w:rPr>
                <w:b/>
                <w:szCs w:val="20"/>
              </w:rPr>
              <w:t>μ</w:t>
            </w:r>
            <w:r w:rsidR="007E7615" w:rsidRPr="00A47A09">
              <w:rPr>
                <w:b/>
                <w:szCs w:val="20"/>
              </w:rPr>
              <w:t>l</w:t>
            </w:r>
            <w:proofErr w:type="spellEnd"/>
            <w:r w:rsidRPr="00A47A09">
              <w:rPr>
                <w:rFonts w:ascii="Times New Roman" w:hAnsi="Times New Roman" w:cs="Times New Roman"/>
                <w:b/>
                <w:szCs w:val="20"/>
              </w:rPr>
              <w:t>]</w:t>
            </w:r>
          </w:p>
        </w:tc>
        <w:tc>
          <w:tcPr>
            <w:tcW w:w="1418" w:type="dxa"/>
            <w:vAlign w:val="center"/>
          </w:tcPr>
          <w:p w:rsidR="00A70FB0" w:rsidRPr="00A47A09" w:rsidRDefault="00A70FB0" w:rsidP="00A70FB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47A09">
              <w:rPr>
                <w:rFonts w:ascii="Times New Roman" w:hAnsi="Times New Roman" w:cs="Times New Roman"/>
                <w:szCs w:val="20"/>
              </w:rPr>
              <w:t>5</w:t>
            </w:r>
            <w:r w:rsidR="003C3C41">
              <w:rPr>
                <w:rFonts w:ascii="Times New Roman" w:hAnsi="Times New Roman" w:cs="Times New Roman"/>
                <w:szCs w:val="20"/>
              </w:rPr>
              <w:t xml:space="preserve"> [10]</w:t>
            </w:r>
          </w:p>
        </w:tc>
        <w:tc>
          <w:tcPr>
            <w:tcW w:w="1132" w:type="dxa"/>
            <w:vAlign w:val="center"/>
          </w:tcPr>
          <w:p w:rsidR="00A70FB0" w:rsidRPr="00A47A09" w:rsidRDefault="00A70FB0" w:rsidP="00A70FB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47A09"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1204" w:type="dxa"/>
            <w:vAlign w:val="center"/>
          </w:tcPr>
          <w:p w:rsidR="00A70FB0" w:rsidRPr="00A47A09" w:rsidRDefault="00A70FB0" w:rsidP="00A70FB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47A09">
              <w:rPr>
                <w:rFonts w:ascii="Times New Roman" w:hAnsi="Times New Roman" w:cs="Times New Roman"/>
                <w:szCs w:val="20"/>
              </w:rPr>
              <w:t>20</w:t>
            </w:r>
          </w:p>
        </w:tc>
        <w:tc>
          <w:tcPr>
            <w:tcW w:w="1204" w:type="dxa"/>
            <w:vAlign w:val="center"/>
          </w:tcPr>
          <w:p w:rsidR="00A70FB0" w:rsidRPr="00A47A09" w:rsidRDefault="00A70FB0" w:rsidP="00A70FB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47A09">
              <w:rPr>
                <w:rFonts w:ascii="Times New Roman" w:hAnsi="Times New Roman" w:cs="Times New Roman"/>
                <w:szCs w:val="20"/>
              </w:rPr>
              <w:t>25</w:t>
            </w:r>
          </w:p>
        </w:tc>
        <w:tc>
          <w:tcPr>
            <w:tcW w:w="1204" w:type="dxa"/>
            <w:vAlign w:val="center"/>
          </w:tcPr>
          <w:p w:rsidR="00A70FB0" w:rsidRPr="00A47A09" w:rsidRDefault="00A70FB0" w:rsidP="00A70FB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47A09">
              <w:rPr>
                <w:rFonts w:ascii="Times New Roman" w:hAnsi="Times New Roman" w:cs="Times New Roman"/>
                <w:szCs w:val="20"/>
              </w:rPr>
              <w:t>30</w:t>
            </w:r>
          </w:p>
        </w:tc>
        <w:tc>
          <w:tcPr>
            <w:tcW w:w="1204" w:type="dxa"/>
            <w:vAlign w:val="center"/>
          </w:tcPr>
          <w:p w:rsidR="00A70FB0" w:rsidRPr="00A47A09" w:rsidRDefault="00A70FB0" w:rsidP="00A70FB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47A09">
              <w:rPr>
                <w:rFonts w:ascii="Times New Roman" w:hAnsi="Times New Roman" w:cs="Times New Roman"/>
                <w:szCs w:val="20"/>
              </w:rPr>
              <w:t>37,</w:t>
            </w:r>
            <w:r w:rsidR="00BA67FE" w:rsidRPr="00A47A09"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A70FB0" w:rsidTr="003C3C41">
        <w:trPr>
          <w:trHeight w:val="474"/>
        </w:trPr>
        <w:tc>
          <w:tcPr>
            <w:tcW w:w="1696" w:type="dxa"/>
            <w:vAlign w:val="center"/>
          </w:tcPr>
          <w:p w:rsidR="006C192C" w:rsidRDefault="00A70FB0" w:rsidP="00A70FB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A47A09">
              <w:rPr>
                <w:rFonts w:ascii="Times New Roman" w:hAnsi="Times New Roman" w:cs="Times New Roman"/>
                <w:b/>
                <w:szCs w:val="20"/>
              </w:rPr>
              <w:t xml:space="preserve">woda </w:t>
            </w:r>
            <w:r w:rsidR="006C192C">
              <w:rPr>
                <w:rFonts w:ascii="Times New Roman" w:hAnsi="Times New Roman" w:cs="Times New Roman"/>
                <w:b/>
                <w:szCs w:val="20"/>
              </w:rPr>
              <w:t>destylowana</w:t>
            </w:r>
          </w:p>
          <w:p w:rsidR="00A70FB0" w:rsidRPr="00A47A09" w:rsidRDefault="00A70FB0" w:rsidP="00A70FB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A47A09">
              <w:rPr>
                <w:rFonts w:ascii="Times New Roman" w:hAnsi="Times New Roman" w:cs="Times New Roman"/>
                <w:b/>
                <w:szCs w:val="20"/>
              </w:rPr>
              <w:t>[</w:t>
            </w:r>
            <w:r w:rsidR="007E7615" w:rsidRPr="00A47A09">
              <w:rPr>
                <w:rFonts w:ascii="Times New Roman" w:hAnsi="Times New Roman" w:cs="Times New Roman"/>
                <w:b/>
                <w:szCs w:val="20"/>
              </w:rPr>
              <w:t>ml</w:t>
            </w:r>
            <w:r w:rsidRPr="00A47A09">
              <w:rPr>
                <w:rFonts w:ascii="Times New Roman" w:hAnsi="Times New Roman" w:cs="Times New Roman"/>
                <w:b/>
                <w:szCs w:val="20"/>
              </w:rPr>
              <w:t>]</w:t>
            </w:r>
          </w:p>
        </w:tc>
        <w:tc>
          <w:tcPr>
            <w:tcW w:w="1418" w:type="dxa"/>
            <w:vAlign w:val="center"/>
          </w:tcPr>
          <w:p w:rsidR="006C192C" w:rsidRDefault="006C192C" w:rsidP="00A70FB0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A70FB0" w:rsidRDefault="00A70FB0" w:rsidP="00A70FB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47A09">
              <w:rPr>
                <w:rFonts w:ascii="Times New Roman" w:hAnsi="Times New Roman" w:cs="Times New Roman"/>
                <w:szCs w:val="20"/>
              </w:rPr>
              <w:t>2</w:t>
            </w:r>
            <w:r w:rsidR="007E7615" w:rsidRPr="00A47A09">
              <w:rPr>
                <w:rFonts w:ascii="Times New Roman" w:hAnsi="Times New Roman" w:cs="Times New Roman"/>
                <w:szCs w:val="20"/>
              </w:rPr>
              <w:t>,</w:t>
            </w:r>
            <w:r w:rsidRPr="00A47A09">
              <w:rPr>
                <w:rFonts w:ascii="Times New Roman" w:hAnsi="Times New Roman" w:cs="Times New Roman"/>
                <w:szCs w:val="20"/>
              </w:rPr>
              <w:t>495</w:t>
            </w:r>
            <w:r w:rsidR="003C3C41">
              <w:rPr>
                <w:rFonts w:ascii="Times New Roman" w:hAnsi="Times New Roman" w:cs="Times New Roman"/>
                <w:szCs w:val="20"/>
              </w:rPr>
              <w:t xml:space="preserve"> [4,990]</w:t>
            </w:r>
          </w:p>
          <w:p w:rsidR="006C192C" w:rsidRPr="00A47A09" w:rsidRDefault="006C192C" w:rsidP="00A70FB0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A70FB0" w:rsidRPr="00A47A09" w:rsidRDefault="00A70FB0" w:rsidP="00A70FB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47A09">
              <w:rPr>
                <w:rFonts w:ascii="Times New Roman" w:hAnsi="Times New Roman" w:cs="Times New Roman"/>
                <w:szCs w:val="20"/>
              </w:rPr>
              <w:t>2</w:t>
            </w:r>
            <w:r w:rsidR="007E7615" w:rsidRPr="00A47A09">
              <w:rPr>
                <w:rFonts w:ascii="Times New Roman" w:hAnsi="Times New Roman" w:cs="Times New Roman"/>
                <w:szCs w:val="20"/>
              </w:rPr>
              <w:t>,</w:t>
            </w:r>
            <w:r w:rsidRPr="00A47A09">
              <w:rPr>
                <w:rFonts w:ascii="Times New Roman" w:hAnsi="Times New Roman" w:cs="Times New Roman"/>
                <w:szCs w:val="20"/>
              </w:rPr>
              <w:t>490</w:t>
            </w:r>
          </w:p>
        </w:tc>
        <w:tc>
          <w:tcPr>
            <w:tcW w:w="1204" w:type="dxa"/>
            <w:vAlign w:val="center"/>
          </w:tcPr>
          <w:p w:rsidR="00A70FB0" w:rsidRPr="00A47A09" w:rsidRDefault="00A70FB0" w:rsidP="00A70FB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47A09">
              <w:rPr>
                <w:rFonts w:ascii="Times New Roman" w:hAnsi="Times New Roman" w:cs="Times New Roman"/>
                <w:szCs w:val="20"/>
              </w:rPr>
              <w:t>2</w:t>
            </w:r>
            <w:r w:rsidR="007E7615" w:rsidRPr="00A47A09">
              <w:rPr>
                <w:rFonts w:ascii="Times New Roman" w:hAnsi="Times New Roman" w:cs="Times New Roman"/>
                <w:szCs w:val="20"/>
              </w:rPr>
              <w:t>,</w:t>
            </w:r>
            <w:r w:rsidRPr="00A47A09">
              <w:rPr>
                <w:rFonts w:ascii="Times New Roman" w:hAnsi="Times New Roman" w:cs="Times New Roman"/>
                <w:szCs w:val="20"/>
              </w:rPr>
              <w:t>480</w:t>
            </w:r>
          </w:p>
        </w:tc>
        <w:tc>
          <w:tcPr>
            <w:tcW w:w="1204" w:type="dxa"/>
            <w:vAlign w:val="center"/>
          </w:tcPr>
          <w:p w:rsidR="00A70FB0" w:rsidRPr="00A47A09" w:rsidRDefault="00A70FB0" w:rsidP="00A70FB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47A09">
              <w:rPr>
                <w:rFonts w:ascii="Times New Roman" w:hAnsi="Times New Roman" w:cs="Times New Roman"/>
                <w:szCs w:val="20"/>
              </w:rPr>
              <w:t>2</w:t>
            </w:r>
            <w:r w:rsidR="007E7615" w:rsidRPr="00A47A09">
              <w:rPr>
                <w:rFonts w:ascii="Times New Roman" w:hAnsi="Times New Roman" w:cs="Times New Roman"/>
                <w:szCs w:val="20"/>
              </w:rPr>
              <w:t>,</w:t>
            </w:r>
            <w:r w:rsidRPr="00A47A09">
              <w:rPr>
                <w:rFonts w:ascii="Times New Roman" w:hAnsi="Times New Roman" w:cs="Times New Roman"/>
                <w:szCs w:val="20"/>
              </w:rPr>
              <w:t>475</w:t>
            </w:r>
          </w:p>
        </w:tc>
        <w:tc>
          <w:tcPr>
            <w:tcW w:w="1204" w:type="dxa"/>
            <w:vAlign w:val="center"/>
          </w:tcPr>
          <w:p w:rsidR="00A70FB0" w:rsidRPr="00A47A09" w:rsidRDefault="00A70FB0" w:rsidP="00A70FB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47A09">
              <w:rPr>
                <w:rFonts w:ascii="Times New Roman" w:hAnsi="Times New Roman" w:cs="Times New Roman"/>
                <w:szCs w:val="20"/>
              </w:rPr>
              <w:t>2</w:t>
            </w:r>
            <w:r w:rsidR="007E7615" w:rsidRPr="00A47A09">
              <w:rPr>
                <w:rFonts w:ascii="Times New Roman" w:hAnsi="Times New Roman" w:cs="Times New Roman"/>
                <w:szCs w:val="20"/>
              </w:rPr>
              <w:t>,</w:t>
            </w:r>
            <w:r w:rsidRPr="00A47A09">
              <w:rPr>
                <w:rFonts w:ascii="Times New Roman" w:hAnsi="Times New Roman" w:cs="Times New Roman"/>
                <w:szCs w:val="20"/>
              </w:rPr>
              <w:t>4</w:t>
            </w:r>
            <w:r w:rsidR="003A4EBD" w:rsidRPr="00A47A09">
              <w:rPr>
                <w:rFonts w:ascii="Times New Roman" w:hAnsi="Times New Roman" w:cs="Times New Roman"/>
                <w:szCs w:val="20"/>
              </w:rPr>
              <w:t>70</w:t>
            </w:r>
          </w:p>
        </w:tc>
        <w:tc>
          <w:tcPr>
            <w:tcW w:w="1204" w:type="dxa"/>
            <w:vAlign w:val="center"/>
          </w:tcPr>
          <w:p w:rsidR="00A70FB0" w:rsidRPr="00A47A09" w:rsidRDefault="00A70FB0" w:rsidP="00A70FB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47A09">
              <w:rPr>
                <w:rFonts w:ascii="Times New Roman" w:hAnsi="Times New Roman" w:cs="Times New Roman"/>
                <w:szCs w:val="20"/>
              </w:rPr>
              <w:t>2</w:t>
            </w:r>
            <w:r w:rsidR="007E7615" w:rsidRPr="00A47A09">
              <w:rPr>
                <w:rFonts w:ascii="Times New Roman" w:hAnsi="Times New Roman" w:cs="Times New Roman"/>
                <w:szCs w:val="20"/>
              </w:rPr>
              <w:t>,</w:t>
            </w:r>
            <w:r w:rsidRPr="00A47A09">
              <w:rPr>
                <w:rFonts w:ascii="Times New Roman" w:hAnsi="Times New Roman" w:cs="Times New Roman"/>
                <w:szCs w:val="20"/>
              </w:rPr>
              <w:t>46</w:t>
            </w:r>
            <w:r w:rsidR="003A4EBD" w:rsidRPr="00A47A09">
              <w:rPr>
                <w:rFonts w:ascii="Times New Roman" w:hAnsi="Times New Roman" w:cs="Times New Roman"/>
                <w:szCs w:val="20"/>
              </w:rPr>
              <w:t>3</w:t>
            </w:r>
          </w:p>
        </w:tc>
      </w:tr>
    </w:tbl>
    <w:p w:rsidR="000A1E27" w:rsidRDefault="000A1E27" w:rsidP="008E101D">
      <w:pPr>
        <w:pStyle w:val="Default"/>
        <w:jc w:val="both"/>
        <w:rPr>
          <w:szCs w:val="23"/>
        </w:rPr>
      </w:pPr>
    </w:p>
    <w:p w:rsidR="003F32D9" w:rsidRPr="006E7599" w:rsidRDefault="00B24FB4" w:rsidP="008E101D">
      <w:pPr>
        <w:pStyle w:val="Default"/>
        <w:jc w:val="both"/>
      </w:pPr>
      <w:r>
        <w:rPr>
          <w:color w:val="auto"/>
        </w:rPr>
        <w:t>Z</w:t>
      </w:r>
      <w:r w:rsidR="000A1E27" w:rsidRPr="00E6084E">
        <w:rPr>
          <w:color w:val="auto"/>
        </w:rPr>
        <w:t xml:space="preserve"> przygotowanych </w:t>
      </w:r>
      <w:r w:rsidR="00F338C8">
        <w:rPr>
          <w:color w:val="auto"/>
        </w:rPr>
        <w:t xml:space="preserve">wzorców </w:t>
      </w:r>
      <w:proofErr w:type="spellStart"/>
      <w:r w:rsidR="00F338C8">
        <w:rPr>
          <w:color w:val="auto"/>
        </w:rPr>
        <w:t>odpipetować</w:t>
      </w:r>
      <w:proofErr w:type="spellEnd"/>
      <w:r w:rsidR="00F338C8">
        <w:rPr>
          <w:color w:val="auto"/>
        </w:rPr>
        <w:t xml:space="preserve"> </w:t>
      </w:r>
      <w:r w:rsidR="000A1E27" w:rsidRPr="00E6084E">
        <w:rPr>
          <w:color w:val="auto"/>
        </w:rPr>
        <w:t xml:space="preserve">do </w:t>
      </w:r>
      <w:r w:rsidR="00F338C8">
        <w:rPr>
          <w:color w:val="auto"/>
        </w:rPr>
        <w:t xml:space="preserve">czystych probówek </w:t>
      </w:r>
      <w:r w:rsidR="00AE2713">
        <w:rPr>
          <w:color w:val="auto"/>
        </w:rPr>
        <w:t xml:space="preserve">szklanych </w:t>
      </w:r>
      <w:r w:rsidR="00F338C8">
        <w:rPr>
          <w:color w:val="auto"/>
        </w:rPr>
        <w:t>(</w:t>
      </w:r>
      <w:r w:rsidR="00AE2713">
        <w:rPr>
          <w:color w:val="auto"/>
        </w:rPr>
        <w:t xml:space="preserve">o objętości </w:t>
      </w:r>
      <w:r w:rsidR="006A648E">
        <w:rPr>
          <w:color w:val="auto"/>
        </w:rPr>
        <w:t>10</w:t>
      </w:r>
      <w:r w:rsidR="000A1E27" w:rsidRPr="00E6084E">
        <w:rPr>
          <w:color w:val="auto"/>
        </w:rPr>
        <w:t xml:space="preserve"> ml</w:t>
      </w:r>
      <w:r w:rsidR="00F338C8">
        <w:rPr>
          <w:color w:val="auto"/>
        </w:rPr>
        <w:t>)</w:t>
      </w:r>
      <w:r w:rsidR="000A1E27" w:rsidRPr="00E6084E">
        <w:rPr>
          <w:color w:val="auto"/>
        </w:rPr>
        <w:t xml:space="preserve"> </w:t>
      </w:r>
      <w:r w:rsidR="00F338C8">
        <w:rPr>
          <w:color w:val="auto"/>
        </w:rPr>
        <w:t xml:space="preserve">po </w:t>
      </w:r>
      <w:r w:rsidR="000A1E27" w:rsidRPr="00E6084E">
        <w:rPr>
          <w:color w:val="auto"/>
        </w:rPr>
        <w:t xml:space="preserve">300 </w:t>
      </w:r>
      <w:proofErr w:type="spellStart"/>
      <w:r w:rsidR="000A1E27" w:rsidRPr="00E6084E">
        <w:rPr>
          <w:color w:val="auto"/>
        </w:rPr>
        <w:t>μl</w:t>
      </w:r>
      <w:proofErr w:type="spellEnd"/>
      <w:r w:rsidR="000A1E27" w:rsidRPr="00E6084E">
        <w:rPr>
          <w:color w:val="auto"/>
        </w:rPr>
        <w:t xml:space="preserve"> </w:t>
      </w:r>
      <w:r w:rsidR="00BF04B6">
        <w:rPr>
          <w:color w:val="auto"/>
        </w:rPr>
        <w:t xml:space="preserve">wzorca </w:t>
      </w:r>
      <w:r w:rsidR="000A1E27" w:rsidRPr="00E6084E">
        <w:rPr>
          <w:color w:val="auto"/>
        </w:rPr>
        <w:t xml:space="preserve">i dodać 2,6 ml wody destylowanej oraz 100 </w:t>
      </w:r>
      <w:proofErr w:type="spellStart"/>
      <w:r w:rsidR="000A1E27" w:rsidRPr="00E6084E">
        <w:rPr>
          <w:color w:val="auto"/>
        </w:rPr>
        <w:t>μl</w:t>
      </w:r>
      <w:proofErr w:type="spellEnd"/>
      <w:r w:rsidR="000A1E27" w:rsidRPr="00E6084E">
        <w:rPr>
          <w:color w:val="auto"/>
        </w:rPr>
        <w:t xml:space="preserve"> mieszaniny odczynników </w:t>
      </w:r>
      <w:proofErr w:type="spellStart"/>
      <w:r w:rsidR="000A1E27" w:rsidRPr="00E6084E">
        <w:rPr>
          <w:color w:val="auto"/>
        </w:rPr>
        <w:t>Griessa</w:t>
      </w:r>
      <w:proofErr w:type="spellEnd"/>
      <w:r w:rsidR="000A1E27" w:rsidRPr="00E6084E">
        <w:rPr>
          <w:color w:val="auto"/>
        </w:rPr>
        <w:t xml:space="preserve"> I </w:t>
      </w:r>
      <w:proofErr w:type="spellStart"/>
      <w:r w:rsidR="000A1E27" w:rsidRPr="00E6084E">
        <w:rPr>
          <w:color w:val="auto"/>
        </w:rPr>
        <w:t>i</w:t>
      </w:r>
      <w:proofErr w:type="spellEnd"/>
      <w:r w:rsidR="000A1E27" w:rsidRPr="00E6084E">
        <w:rPr>
          <w:color w:val="auto"/>
        </w:rPr>
        <w:t xml:space="preserve"> </w:t>
      </w:r>
      <w:proofErr w:type="spellStart"/>
      <w:r w:rsidR="000A1E27" w:rsidRPr="00E6084E">
        <w:rPr>
          <w:color w:val="auto"/>
        </w:rPr>
        <w:t>Griessa</w:t>
      </w:r>
      <w:proofErr w:type="spellEnd"/>
      <w:r w:rsidR="000A1E27" w:rsidRPr="00E6084E">
        <w:rPr>
          <w:color w:val="auto"/>
        </w:rPr>
        <w:t xml:space="preserve"> II</w:t>
      </w:r>
      <w:r w:rsidR="003C3C41">
        <w:rPr>
          <w:color w:val="auto"/>
        </w:rPr>
        <w:t xml:space="preserve"> (</w:t>
      </w:r>
      <w:r w:rsidR="004C4A56">
        <w:rPr>
          <w:color w:val="auto"/>
        </w:rPr>
        <w:t>1:1</w:t>
      </w:r>
      <w:r w:rsidR="00E6084E" w:rsidRPr="00E6084E">
        <w:rPr>
          <w:color w:val="auto"/>
        </w:rPr>
        <w:t xml:space="preserve">), </w:t>
      </w:r>
      <w:r w:rsidR="007F658E" w:rsidRPr="00E6084E">
        <w:rPr>
          <w:color w:val="auto"/>
        </w:rPr>
        <w:t>wymieszać i poz</w:t>
      </w:r>
      <w:r w:rsidR="009E7E49" w:rsidRPr="00E6084E">
        <w:rPr>
          <w:color w:val="auto"/>
        </w:rPr>
        <w:t xml:space="preserve">ostawić </w:t>
      </w:r>
      <w:r w:rsidR="009E7E49" w:rsidRPr="00E6084E">
        <w:t>bez dostępu</w:t>
      </w:r>
      <w:r w:rsidR="004C4A56">
        <w:t xml:space="preserve"> do</w:t>
      </w:r>
      <w:r w:rsidR="009E7E49" w:rsidRPr="00E6084E">
        <w:t xml:space="preserve"> światła </w:t>
      </w:r>
      <w:r w:rsidR="003F32D9">
        <w:t xml:space="preserve">przez </w:t>
      </w:r>
      <w:r w:rsidR="003C3C41">
        <w:t>30 min</w:t>
      </w:r>
      <w:r w:rsidR="009E7E49" w:rsidRPr="00E6084E">
        <w:t xml:space="preserve">. </w:t>
      </w:r>
      <w:r w:rsidR="006E7599">
        <w:t xml:space="preserve"> </w:t>
      </w:r>
      <w:r w:rsidR="003C3C41">
        <w:t>Po inkubacji</w:t>
      </w:r>
      <w:r w:rsidR="007F658E" w:rsidRPr="00E6084E">
        <w:t xml:space="preserve"> dokonać pomiaru absorbancji roztworów przy długości fali 538 </w:t>
      </w:r>
      <w:proofErr w:type="spellStart"/>
      <w:r w:rsidR="007F658E" w:rsidRPr="00E6084E">
        <w:t>nm</w:t>
      </w:r>
      <w:proofErr w:type="spellEnd"/>
      <w:r w:rsidR="007F658E" w:rsidRPr="00E6084E">
        <w:t xml:space="preserve"> wobec </w:t>
      </w:r>
      <w:r w:rsidR="009E7E49" w:rsidRPr="00E6084E">
        <w:t xml:space="preserve">próby kontrolnej </w:t>
      </w:r>
      <w:r w:rsidR="007F658E" w:rsidRPr="00E6084E">
        <w:t>(</w:t>
      </w:r>
      <w:r w:rsidR="004C4A56">
        <w:t xml:space="preserve">2,9 ml wody destylowanej </w:t>
      </w:r>
      <w:r w:rsidR="007F658E" w:rsidRPr="00E6084E">
        <w:t xml:space="preserve">+ </w:t>
      </w:r>
      <w:r w:rsidR="004C4A56">
        <w:t xml:space="preserve">100 </w:t>
      </w:r>
      <w:r w:rsidR="003C3C41">
        <w:rPr>
          <w:rFonts w:ascii="Calibri" w:hAnsi="Calibri" w:cs="Calibri"/>
        </w:rPr>
        <w:t>µ</w:t>
      </w:r>
      <w:r w:rsidR="004C4A56">
        <w:t xml:space="preserve">l </w:t>
      </w:r>
      <w:r w:rsidR="004C4A56" w:rsidRPr="00E6084E">
        <w:rPr>
          <w:color w:val="auto"/>
        </w:rPr>
        <w:t>m</w:t>
      </w:r>
      <w:r w:rsidR="003C3C41">
        <w:rPr>
          <w:color w:val="auto"/>
        </w:rPr>
        <w:t xml:space="preserve">ieszaniny odczynników </w:t>
      </w:r>
      <w:proofErr w:type="spellStart"/>
      <w:r w:rsidR="003C3C41">
        <w:rPr>
          <w:color w:val="auto"/>
        </w:rPr>
        <w:t>Griessa</w:t>
      </w:r>
      <w:proofErr w:type="spellEnd"/>
      <w:r w:rsidR="003C3C41">
        <w:rPr>
          <w:color w:val="auto"/>
        </w:rPr>
        <w:t xml:space="preserve"> (1:1).</w:t>
      </w:r>
    </w:p>
    <w:p w:rsidR="00E6084E" w:rsidRPr="005D5AD0" w:rsidRDefault="007F658E" w:rsidP="008E101D">
      <w:pPr>
        <w:pStyle w:val="Default"/>
        <w:jc w:val="both"/>
      </w:pPr>
      <w:r w:rsidRPr="00E6084E">
        <w:lastRenderedPageBreak/>
        <w:t xml:space="preserve">Po wykonaniu pomiaru wykreślić </w:t>
      </w:r>
      <w:r w:rsidR="00F338C8">
        <w:t>krzywa wzorcową</w:t>
      </w:r>
      <w:r w:rsidR="005D5AD0">
        <w:t xml:space="preserve"> </w:t>
      </w:r>
      <w:r w:rsidR="00F338C8">
        <w:t xml:space="preserve">odznaczając na osi odciętych (X) masę jonów azotu (III) w roztworze wzorcowym w </w:t>
      </w:r>
      <w:proofErr w:type="spellStart"/>
      <w:r w:rsidR="00F338C8">
        <w:t>μg</w:t>
      </w:r>
      <w:proofErr w:type="spellEnd"/>
      <w:r w:rsidR="00F338C8">
        <w:t xml:space="preserve">/ml, </w:t>
      </w:r>
      <w:r w:rsidR="005D5AD0">
        <w:t xml:space="preserve"> a </w:t>
      </w:r>
      <w:r w:rsidR="00F338C8">
        <w:t>na osi rzędnych (Y)</w:t>
      </w:r>
      <w:r w:rsidR="00691886">
        <w:t xml:space="preserve"> </w:t>
      </w:r>
      <w:r w:rsidR="00F338C8">
        <w:t xml:space="preserve">odpowiadające im wartości absorbancji. </w:t>
      </w:r>
    </w:p>
    <w:p w:rsidR="00E6084E" w:rsidRDefault="00E6084E" w:rsidP="008E101D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AE2713" w:rsidRDefault="00DA78E6" w:rsidP="008E101D">
      <w:pPr>
        <w:pStyle w:val="Default"/>
        <w:jc w:val="both"/>
        <w:rPr>
          <w:b/>
          <w:bCs/>
          <w:color w:val="auto"/>
        </w:rPr>
      </w:pPr>
      <w:r w:rsidRPr="00A70FB0">
        <w:rPr>
          <w:b/>
          <w:bCs/>
          <w:color w:val="auto"/>
        </w:rPr>
        <w:t>Przygotowanie prób</w:t>
      </w:r>
      <w:r w:rsidR="003F32D9" w:rsidRPr="003F32D9">
        <w:rPr>
          <w:b/>
          <w:bCs/>
          <w:color w:val="auto"/>
        </w:rPr>
        <w:t xml:space="preserve"> </w:t>
      </w:r>
      <w:r w:rsidR="003F32D9">
        <w:rPr>
          <w:b/>
          <w:bCs/>
          <w:color w:val="auto"/>
        </w:rPr>
        <w:t>badanych</w:t>
      </w:r>
    </w:p>
    <w:p w:rsidR="00DA78E6" w:rsidRPr="00A70FB0" w:rsidRDefault="00DA78E6" w:rsidP="008E101D">
      <w:pPr>
        <w:pStyle w:val="Default"/>
        <w:jc w:val="both"/>
        <w:rPr>
          <w:b/>
          <w:bCs/>
          <w:color w:val="auto"/>
        </w:rPr>
      </w:pPr>
      <w:r w:rsidRPr="00A70FB0">
        <w:rPr>
          <w:b/>
          <w:bCs/>
          <w:color w:val="auto"/>
        </w:rPr>
        <w:t xml:space="preserve"> </w:t>
      </w:r>
    </w:p>
    <w:p w:rsidR="00AE17C2" w:rsidRDefault="009A57AD" w:rsidP="00B24FB4">
      <w:pPr>
        <w:pStyle w:val="Default"/>
        <w:numPr>
          <w:ilvl w:val="0"/>
          <w:numId w:val="3"/>
        </w:numPr>
        <w:jc w:val="both"/>
        <w:rPr>
          <w:color w:val="auto"/>
        </w:rPr>
      </w:pPr>
      <w:r>
        <w:rPr>
          <w:color w:val="auto"/>
        </w:rPr>
        <w:t xml:space="preserve">Z </w:t>
      </w:r>
      <w:r w:rsidR="00D4704C">
        <w:rPr>
          <w:color w:val="auto"/>
        </w:rPr>
        <w:t>otrzymanej próbki</w:t>
      </w:r>
      <w:r w:rsidR="004C4A56">
        <w:rPr>
          <w:color w:val="auto"/>
        </w:rPr>
        <w:t xml:space="preserve"> warzyw</w:t>
      </w:r>
      <w:r w:rsidR="008E101D">
        <w:rPr>
          <w:color w:val="auto"/>
        </w:rPr>
        <w:t xml:space="preserve"> (</w:t>
      </w:r>
      <w:proofErr w:type="spellStart"/>
      <w:r w:rsidR="008E101D">
        <w:rPr>
          <w:color w:val="auto"/>
        </w:rPr>
        <w:t>rukola</w:t>
      </w:r>
      <w:proofErr w:type="spellEnd"/>
      <w:r w:rsidR="008E101D">
        <w:rPr>
          <w:color w:val="auto"/>
        </w:rPr>
        <w:t>, szpinak świeży, szpinak mrożony, sałata)</w:t>
      </w:r>
      <w:r w:rsidR="00DA78E6" w:rsidRPr="00E6084E">
        <w:rPr>
          <w:color w:val="auto"/>
        </w:rPr>
        <w:t xml:space="preserve"> </w:t>
      </w:r>
      <w:r w:rsidR="00D4704C">
        <w:rPr>
          <w:color w:val="auto"/>
        </w:rPr>
        <w:t xml:space="preserve">odważyć 5 g </w:t>
      </w:r>
      <w:r w:rsidR="00AE2713">
        <w:rPr>
          <w:color w:val="auto"/>
        </w:rPr>
        <w:t>(</w:t>
      </w:r>
      <w:r w:rsidR="00D4704C">
        <w:rPr>
          <w:color w:val="auto"/>
        </w:rPr>
        <w:t xml:space="preserve">z dokładnością </w:t>
      </w:r>
      <w:r w:rsidR="00AE2713">
        <w:rPr>
          <w:color w:val="auto"/>
        </w:rPr>
        <w:t xml:space="preserve">do </w:t>
      </w:r>
      <w:r w:rsidR="00D4704C">
        <w:rPr>
          <w:color w:val="auto"/>
        </w:rPr>
        <w:t>0,01 g</w:t>
      </w:r>
      <w:r w:rsidR="00AE2713">
        <w:rPr>
          <w:color w:val="auto"/>
        </w:rPr>
        <w:t>)</w:t>
      </w:r>
      <w:r w:rsidR="006E7599">
        <w:rPr>
          <w:color w:val="auto"/>
        </w:rPr>
        <w:t xml:space="preserve"> </w:t>
      </w:r>
      <w:r w:rsidR="00AE2713">
        <w:rPr>
          <w:color w:val="auto"/>
        </w:rPr>
        <w:t xml:space="preserve">i rozetrzeć w </w:t>
      </w:r>
      <w:r w:rsidR="00D4704C">
        <w:rPr>
          <w:color w:val="auto"/>
        </w:rPr>
        <w:t>moździerz</w:t>
      </w:r>
      <w:r>
        <w:rPr>
          <w:color w:val="auto"/>
        </w:rPr>
        <w:t>u</w:t>
      </w:r>
      <w:r w:rsidR="00D4704C">
        <w:rPr>
          <w:color w:val="auto"/>
        </w:rPr>
        <w:t xml:space="preserve">. </w:t>
      </w:r>
    </w:p>
    <w:p w:rsidR="00DA78E6" w:rsidRPr="00E6084E" w:rsidRDefault="009A57AD" w:rsidP="00B24FB4">
      <w:pPr>
        <w:pStyle w:val="Default"/>
        <w:numPr>
          <w:ilvl w:val="0"/>
          <w:numId w:val="3"/>
        </w:numPr>
        <w:jc w:val="both"/>
        <w:rPr>
          <w:color w:val="auto"/>
        </w:rPr>
      </w:pPr>
      <w:r>
        <w:rPr>
          <w:color w:val="auto"/>
        </w:rPr>
        <w:t>P</w:t>
      </w:r>
      <w:r w:rsidR="00DA78E6" w:rsidRPr="00E6084E">
        <w:rPr>
          <w:color w:val="auto"/>
        </w:rPr>
        <w:t>rz</w:t>
      </w:r>
      <w:r w:rsidR="00D4704C">
        <w:rPr>
          <w:color w:val="auto"/>
        </w:rPr>
        <w:t>enieść prób</w:t>
      </w:r>
      <w:r w:rsidR="003C3C41">
        <w:rPr>
          <w:color w:val="auto"/>
        </w:rPr>
        <w:t>k</w:t>
      </w:r>
      <w:r w:rsidR="00D4704C">
        <w:rPr>
          <w:color w:val="auto"/>
        </w:rPr>
        <w:t>ę za pomocą około 25</w:t>
      </w:r>
      <w:r w:rsidR="003C3C41">
        <w:rPr>
          <w:color w:val="auto"/>
        </w:rPr>
        <w:t xml:space="preserve"> ml wody w</w:t>
      </w:r>
      <w:r w:rsidR="00DA78E6" w:rsidRPr="00E6084E">
        <w:rPr>
          <w:color w:val="auto"/>
        </w:rPr>
        <w:t xml:space="preserve"> temperaturze 70-80</w:t>
      </w:r>
      <w:r w:rsidR="00DA78E6" w:rsidRPr="00E6084E">
        <w:rPr>
          <w:color w:val="auto"/>
          <w:vertAlign w:val="superscript"/>
        </w:rPr>
        <w:t>0</w:t>
      </w:r>
      <w:r w:rsidR="00DA78E6" w:rsidRPr="00E6084E">
        <w:rPr>
          <w:color w:val="auto"/>
        </w:rPr>
        <w:t>C</w:t>
      </w:r>
      <w:r w:rsidR="00566FCB" w:rsidRPr="00E6084E">
        <w:rPr>
          <w:color w:val="auto"/>
        </w:rPr>
        <w:t xml:space="preserve"> (podgrzanej uprzednio na mieszadle magnetycznym)</w:t>
      </w:r>
      <w:r w:rsidR="00DA78E6" w:rsidRPr="00E6084E">
        <w:rPr>
          <w:color w:val="auto"/>
        </w:rPr>
        <w:t xml:space="preserve"> do</w:t>
      </w:r>
      <w:r w:rsidR="00D4704C">
        <w:rPr>
          <w:color w:val="auto"/>
        </w:rPr>
        <w:t xml:space="preserve"> kolby miarowej o pojemności 50</w:t>
      </w:r>
      <w:r w:rsidR="00DA78E6" w:rsidRPr="00E6084E">
        <w:rPr>
          <w:color w:val="auto"/>
        </w:rPr>
        <w:t xml:space="preserve"> ml</w:t>
      </w:r>
      <w:r w:rsidR="00D4704C">
        <w:rPr>
          <w:color w:val="auto"/>
        </w:rPr>
        <w:t>,</w:t>
      </w:r>
      <w:r w:rsidR="00AE17C2">
        <w:rPr>
          <w:color w:val="auto"/>
        </w:rPr>
        <w:t xml:space="preserve"> dodać 0,5g </w:t>
      </w:r>
      <w:r w:rsidR="00AE17C2" w:rsidRPr="00E6084E">
        <w:rPr>
          <w:color w:val="auto"/>
        </w:rPr>
        <w:t>węgla aktywnego</w:t>
      </w:r>
      <w:r w:rsidR="00AE17C2">
        <w:rPr>
          <w:color w:val="auto"/>
        </w:rPr>
        <w:t xml:space="preserve"> i wymieszać, dodać </w:t>
      </w:r>
      <w:r w:rsidR="00D4704C">
        <w:rPr>
          <w:color w:val="auto"/>
        </w:rPr>
        <w:t>1,25</w:t>
      </w:r>
      <w:r w:rsidR="00DA78E6" w:rsidRPr="00E6084E">
        <w:rPr>
          <w:color w:val="auto"/>
        </w:rPr>
        <w:t xml:space="preserve"> ml boraksu i </w:t>
      </w:r>
      <w:r w:rsidRPr="00E6084E">
        <w:rPr>
          <w:color w:val="auto"/>
        </w:rPr>
        <w:t xml:space="preserve">kilka razy </w:t>
      </w:r>
      <w:r w:rsidR="00DA78E6" w:rsidRPr="00E6084E">
        <w:rPr>
          <w:color w:val="auto"/>
        </w:rPr>
        <w:t xml:space="preserve">mocno wstrząsnąć. </w:t>
      </w:r>
    </w:p>
    <w:p w:rsidR="008E101D" w:rsidRDefault="00DA78E6" w:rsidP="00B24FB4">
      <w:pPr>
        <w:pStyle w:val="Default"/>
        <w:numPr>
          <w:ilvl w:val="0"/>
          <w:numId w:val="3"/>
        </w:numPr>
        <w:jc w:val="both"/>
        <w:rPr>
          <w:color w:val="auto"/>
        </w:rPr>
      </w:pPr>
      <w:r w:rsidRPr="00E6084E">
        <w:rPr>
          <w:color w:val="auto"/>
        </w:rPr>
        <w:t>Kolbę ogrzewać w łaź</w:t>
      </w:r>
      <w:r w:rsidR="00566FCB" w:rsidRPr="00E6084E">
        <w:rPr>
          <w:color w:val="auto"/>
        </w:rPr>
        <w:t>ni wodnej</w:t>
      </w:r>
      <w:r w:rsidR="00D4704C">
        <w:rPr>
          <w:color w:val="auto"/>
        </w:rPr>
        <w:t xml:space="preserve"> </w:t>
      </w:r>
      <w:r w:rsidRPr="00E6084E">
        <w:rPr>
          <w:color w:val="auto"/>
        </w:rPr>
        <w:t>p</w:t>
      </w:r>
      <w:r w:rsidR="003C3C41">
        <w:rPr>
          <w:color w:val="auto"/>
        </w:rPr>
        <w:t>rzez 30 min</w:t>
      </w:r>
      <w:r w:rsidR="00D4704C">
        <w:rPr>
          <w:color w:val="auto"/>
        </w:rPr>
        <w:t xml:space="preserve"> w temperaturze </w:t>
      </w:r>
      <w:r w:rsidRPr="00E6084E">
        <w:rPr>
          <w:color w:val="auto"/>
        </w:rPr>
        <w:t>100</w:t>
      </w:r>
      <w:r w:rsidRPr="00E6084E">
        <w:rPr>
          <w:color w:val="auto"/>
          <w:vertAlign w:val="superscript"/>
        </w:rPr>
        <w:t>0</w:t>
      </w:r>
      <w:r w:rsidRPr="00E6084E">
        <w:rPr>
          <w:color w:val="auto"/>
        </w:rPr>
        <w:t>C</w:t>
      </w:r>
      <w:r w:rsidR="003C3C41">
        <w:rPr>
          <w:color w:val="auto"/>
        </w:rPr>
        <w:t>, po 15 min</w:t>
      </w:r>
      <w:r w:rsidR="00D4704C">
        <w:rPr>
          <w:color w:val="auto"/>
        </w:rPr>
        <w:t xml:space="preserve"> próbę zamieszać</w:t>
      </w:r>
      <w:r w:rsidR="00566FCB" w:rsidRPr="00E6084E">
        <w:rPr>
          <w:color w:val="auto"/>
        </w:rPr>
        <w:t xml:space="preserve"> </w:t>
      </w:r>
      <w:r w:rsidR="00E6084E" w:rsidRPr="00E6084E">
        <w:rPr>
          <w:color w:val="auto"/>
        </w:rPr>
        <w:t>(</w:t>
      </w:r>
      <w:r w:rsidR="00E6084E" w:rsidRPr="006C192C">
        <w:rPr>
          <w:color w:val="auto"/>
        </w:rPr>
        <w:t>pracować w rękawicach ochronnych!)</w:t>
      </w:r>
      <w:r w:rsidRPr="006C192C">
        <w:rPr>
          <w:color w:val="auto"/>
        </w:rPr>
        <w:t>.</w:t>
      </w:r>
      <w:r w:rsidRPr="00E6084E">
        <w:rPr>
          <w:color w:val="auto"/>
        </w:rPr>
        <w:t xml:space="preserve"> </w:t>
      </w:r>
    </w:p>
    <w:p w:rsidR="00DA78E6" w:rsidRPr="00E6084E" w:rsidRDefault="003C3C41" w:rsidP="00B24FB4">
      <w:pPr>
        <w:pStyle w:val="Default"/>
        <w:numPr>
          <w:ilvl w:val="0"/>
          <w:numId w:val="3"/>
        </w:numPr>
        <w:jc w:val="both"/>
        <w:rPr>
          <w:color w:val="auto"/>
        </w:rPr>
      </w:pPr>
      <w:r>
        <w:rPr>
          <w:color w:val="auto"/>
        </w:rPr>
        <w:t>Po upływie 30 min</w:t>
      </w:r>
      <w:r w:rsidR="00DA78E6" w:rsidRPr="00E6084E">
        <w:rPr>
          <w:color w:val="auto"/>
        </w:rPr>
        <w:t xml:space="preserve"> prób</w:t>
      </w:r>
      <w:r w:rsidR="009A57AD">
        <w:rPr>
          <w:color w:val="auto"/>
        </w:rPr>
        <w:t>ę</w:t>
      </w:r>
      <w:r w:rsidR="00DA78E6" w:rsidRPr="00E6084E">
        <w:rPr>
          <w:color w:val="auto"/>
        </w:rPr>
        <w:t xml:space="preserve"> ochłodzić</w:t>
      </w:r>
      <w:r w:rsidR="00D4704C">
        <w:rPr>
          <w:color w:val="auto"/>
        </w:rPr>
        <w:t xml:space="preserve"> (w zimnej wodzie</w:t>
      </w:r>
      <w:r w:rsidR="00566FCB" w:rsidRPr="00E6084E">
        <w:rPr>
          <w:color w:val="auto"/>
        </w:rPr>
        <w:t>)</w:t>
      </w:r>
      <w:r w:rsidR="00D4704C">
        <w:rPr>
          <w:color w:val="auto"/>
        </w:rPr>
        <w:t xml:space="preserve"> i dodawać kolejno 0,5</w:t>
      </w:r>
      <w:r w:rsidR="00DA78E6" w:rsidRPr="00E6084E">
        <w:rPr>
          <w:color w:val="auto"/>
        </w:rPr>
        <w:t xml:space="preserve"> ml </w:t>
      </w:r>
      <w:r w:rsidR="00D4704C" w:rsidRPr="00E6084E">
        <w:t>K</w:t>
      </w:r>
      <w:r w:rsidR="009A57AD">
        <w:rPr>
          <w:vertAlign w:val="subscript"/>
        </w:rPr>
        <w:t>4</w:t>
      </w:r>
      <w:r w:rsidR="00D4704C" w:rsidRPr="00E6084E">
        <w:t>Fe(CN)</w:t>
      </w:r>
      <w:r w:rsidR="009A57AD">
        <w:rPr>
          <w:vertAlign w:val="subscript"/>
        </w:rPr>
        <w:t>6</w:t>
      </w:r>
      <w:r w:rsidR="00D4704C" w:rsidRPr="004C4A56">
        <w:t xml:space="preserve"> </w:t>
      </w:r>
      <w:r w:rsidR="00D4704C">
        <w:rPr>
          <w:color w:val="auto"/>
        </w:rPr>
        <w:t xml:space="preserve"> i 0,5</w:t>
      </w:r>
      <w:r w:rsidR="00DA78E6" w:rsidRPr="00E6084E">
        <w:rPr>
          <w:color w:val="auto"/>
        </w:rPr>
        <w:t xml:space="preserve"> ml </w:t>
      </w:r>
      <w:r w:rsidR="00D4704C" w:rsidRPr="004C4A56">
        <w:t>Zn(CH</w:t>
      </w:r>
      <w:r w:rsidR="009A57AD">
        <w:rPr>
          <w:vertAlign w:val="subscript"/>
        </w:rPr>
        <w:t>3</w:t>
      </w:r>
      <w:r w:rsidR="00D4704C" w:rsidRPr="004C4A56">
        <w:t>COO)</w:t>
      </w:r>
      <w:r w:rsidR="009A57AD">
        <w:rPr>
          <w:vertAlign w:val="subscript"/>
        </w:rPr>
        <w:t>2</w:t>
      </w:r>
      <w:r w:rsidR="00DA78E6" w:rsidRPr="00E6084E">
        <w:rPr>
          <w:color w:val="auto"/>
        </w:rPr>
        <w:t xml:space="preserve">, wstrząsając po dodaniu każdej porcji odczynników. </w:t>
      </w:r>
    </w:p>
    <w:p w:rsidR="00B24FB4" w:rsidRDefault="00B24FB4" w:rsidP="008E101D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     </w:t>
      </w:r>
      <w:r w:rsidR="009A57AD">
        <w:rPr>
          <w:color w:val="auto"/>
        </w:rPr>
        <w:t>P</w:t>
      </w:r>
      <w:r w:rsidR="00DA78E6" w:rsidRPr="00E6084E">
        <w:rPr>
          <w:color w:val="auto"/>
        </w:rPr>
        <w:t>ró</w:t>
      </w:r>
      <w:r w:rsidR="00AE17C2">
        <w:rPr>
          <w:color w:val="auto"/>
        </w:rPr>
        <w:t>b</w:t>
      </w:r>
      <w:r w:rsidR="009A57AD">
        <w:rPr>
          <w:color w:val="auto"/>
        </w:rPr>
        <w:t>ę</w:t>
      </w:r>
      <w:r w:rsidR="00AE17C2">
        <w:rPr>
          <w:color w:val="auto"/>
        </w:rPr>
        <w:t xml:space="preserve"> uzupełnić wodą do kreski (50</w:t>
      </w:r>
      <w:r w:rsidR="00DA78E6" w:rsidRPr="00E6084E">
        <w:rPr>
          <w:color w:val="auto"/>
        </w:rPr>
        <w:t xml:space="preserve"> ml), wymieszać i filtrować</w:t>
      </w:r>
      <w:r w:rsidR="00566FCB" w:rsidRPr="00E6084E">
        <w:rPr>
          <w:color w:val="auto"/>
        </w:rPr>
        <w:t xml:space="preserve"> przez watę </w:t>
      </w:r>
      <w:r w:rsidR="00DA78E6" w:rsidRPr="00E6084E">
        <w:rPr>
          <w:color w:val="auto"/>
        </w:rPr>
        <w:t>filtracyjną</w:t>
      </w:r>
      <w:bookmarkStart w:id="0" w:name="_GoBack"/>
      <w:bookmarkEnd w:id="0"/>
    </w:p>
    <w:p w:rsidR="008E101D" w:rsidRDefault="00B24FB4" w:rsidP="008E101D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</w:t>
      </w:r>
      <w:r w:rsidR="00AE17C2">
        <w:rPr>
          <w:color w:val="auto"/>
        </w:rPr>
        <w:t xml:space="preserve"> </w:t>
      </w:r>
      <w:r>
        <w:rPr>
          <w:color w:val="auto"/>
        </w:rPr>
        <w:t xml:space="preserve">    </w:t>
      </w:r>
      <w:r w:rsidR="00AE17C2">
        <w:rPr>
          <w:color w:val="auto"/>
        </w:rPr>
        <w:t>(w przypadku uzyskania przesączu barwnego filtrację powtórzyć</w:t>
      </w:r>
      <w:r w:rsidR="00EF4344">
        <w:rPr>
          <w:color w:val="auto"/>
        </w:rPr>
        <w:t xml:space="preserve"> !</w:t>
      </w:r>
      <w:r w:rsidR="00AE17C2">
        <w:rPr>
          <w:color w:val="auto"/>
        </w:rPr>
        <w:t xml:space="preserve">). </w:t>
      </w:r>
    </w:p>
    <w:p w:rsidR="008E101D" w:rsidRDefault="009A57AD" w:rsidP="00B24FB4">
      <w:pPr>
        <w:pStyle w:val="Default"/>
        <w:numPr>
          <w:ilvl w:val="0"/>
          <w:numId w:val="3"/>
        </w:numPr>
        <w:jc w:val="both"/>
        <w:rPr>
          <w:color w:val="auto"/>
        </w:rPr>
      </w:pPr>
      <w:r>
        <w:rPr>
          <w:color w:val="auto"/>
        </w:rPr>
        <w:t xml:space="preserve">Przefiltrować </w:t>
      </w:r>
      <w:r w:rsidR="00AE17C2">
        <w:rPr>
          <w:color w:val="auto"/>
        </w:rPr>
        <w:t xml:space="preserve">dwukrotnie </w:t>
      </w:r>
      <w:r w:rsidR="00566FCB" w:rsidRPr="00E6084E">
        <w:rPr>
          <w:color w:val="auto"/>
        </w:rPr>
        <w:t xml:space="preserve">przez </w:t>
      </w:r>
      <w:r w:rsidR="00566FCB" w:rsidRPr="00E6084E">
        <w:t>filtry próżniowe z sączkiem membranowym przy użyciu próżni</w:t>
      </w:r>
      <w:r w:rsidR="00DA78E6" w:rsidRPr="00E6084E">
        <w:rPr>
          <w:color w:val="auto"/>
        </w:rPr>
        <w:t>. W razie zmętnienia filtrację</w:t>
      </w:r>
      <w:r w:rsidR="00566FCB" w:rsidRPr="00E6084E">
        <w:rPr>
          <w:color w:val="auto"/>
        </w:rPr>
        <w:t xml:space="preserve"> próżniową</w:t>
      </w:r>
      <w:r w:rsidR="00DA78E6" w:rsidRPr="00E6084E">
        <w:rPr>
          <w:color w:val="auto"/>
        </w:rPr>
        <w:t xml:space="preserve"> powtórzyć. </w:t>
      </w:r>
    </w:p>
    <w:p w:rsidR="00DA78E6" w:rsidRPr="00E6084E" w:rsidRDefault="00DA78E6" w:rsidP="00B24FB4">
      <w:pPr>
        <w:pStyle w:val="Default"/>
        <w:numPr>
          <w:ilvl w:val="0"/>
          <w:numId w:val="3"/>
        </w:numPr>
        <w:jc w:val="both"/>
        <w:rPr>
          <w:color w:val="auto"/>
        </w:rPr>
      </w:pPr>
      <w:r w:rsidRPr="00E6084E">
        <w:rPr>
          <w:color w:val="auto"/>
        </w:rPr>
        <w:t>Z klarownego przesączu pobierać odpowiednie ilości do oznaczenia azot</w:t>
      </w:r>
      <w:r w:rsidR="00BF04B6">
        <w:rPr>
          <w:color w:val="auto"/>
        </w:rPr>
        <w:t>y</w:t>
      </w:r>
      <w:r w:rsidRPr="00E6084E">
        <w:rPr>
          <w:color w:val="auto"/>
        </w:rPr>
        <w:t xml:space="preserve">nów. </w:t>
      </w:r>
    </w:p>
    <w:p w:rsidR="00E6084E" w:rsidRPr="00E6084E" w:rsidRDefault="00E6084E" w:rsidP="008E101D">
      <w:pPr>
        <w:pStyle w:val="Default"/>
        <w:jc w:val="both"/>
        <w:rPr>
          <w:b/>
          <w:color w:val="auto"/>
        </w:rPr>
      </w:pPr>
    </w:p>
    <w:p w:rsidR="00E6084E" w:rsidRPr="00A70FB0" w:rsidRDefault="00E6084E" w:rsidP="008E101D">
      <w:pPr>
        <w:pStyle w:val="Default"/>
        <w:jc w:val="both"/>
        <w:rPr>
          <w:b/>
          <w:color w:val="auto"/>
        </w:rPr>
      </w:pPr>
      <w:r w:rsidRPr="00A70FB0">
        <w:rPr>
          <w:b/>
          <w:color w:val="auto"/>
        </w:rPr>
        <w:t>Oznaczenie zawartości azot</w:t>
      </w:r>
      <w:r w:rsidR="00BF04B6">
        <w:rPr>
          <w:b/>
          <w:color w:val="auto"/>
        </w:rPr>
        <w:t>y</w:t>
      </w:r>
      <w:r w:rsidRPr="00A70FB0">
        <w:rPr>
          <w:b/>
          <w:color w:val="auto"/>
        </w:rPr>
        <w:t xml:space="preserve">nów </w:t>
      </w:r>
    </w:p>
    <w:p w:rsidR="00E6084E" w:rsidRPr="008E101D" w:rsidRDefault="00E6084E" w:rsidP="008E101D">
      <w:pPr>
        <w:pStyle w:val="Default"/>
        <w:jc w:val="both"/>
        <w:rPr>
          <w:b/>
          <w:color w:val="auto"/>
          <w:sz w:val="28"/>
        </w:rPr>
      </w:pPr>
    </w:p>
    <w:p w:rsidR="004C4A56" w:rsidRDefault="00A44878" w:rsidP="008E101D">
      <w:pPr>
        <w:pStyle w:val="Default"/>
        <w:jc w:val="both"/>
        <w:rPr>
          <w:b/>
          <w:bCs/>
          <w:color w:val="auto"/>
          <w:sz w:val="23"/>
          <w:szCs w:val="23"/>
        </w:rPr>
      </w:pPr>
      <w:r>
        <w:rPr>
          <w:color w:val="auto"/>
        </w:rPr>
        <w:t xml:space="preserve">Do </w:t>
      </w:r>
      <w:r w:rsidR="00626AF2">
        <w:rPr>
          <w:color w:val="auto"/>
        </w:rPr>
        <w:t xml:space="preserve">szklanych </w:t>
      </w:r>
      <w:r>
        <w:rPr>
          <w:color w:val="auto"/>
        </w:rPr>
        <w:t>probówek</w:t>
      </w:r>
      <w:r w:rsidR="003C3C41">
        <w:rPr>
          <w:color w:val="auto"/>
        </w:rPr>
        <w:t xml:space="preserve"> o pojemności 10</w:t>
      </w:r>
      <w:r w:rsidR="00E6084E" w:rsidRPr="00E6084E">
        <w:rPr>
          <w:color w:val="auto"/>
        </w:rPr>
        <w:t xml:space="preserve"> ml </w:t>
      </w:r>
      <w:proofErr w:type="spellStart"/>
      <w:r w:rsidR="00626AF2">
        <w:rPr>
          <w:color w:val="auto"/>
        </w:rPr>
        <w:t>odpipetować</w:t>
      </w:r>
      <w:proofErr w:type="spellEnd"/>
      <w:r w:rsidR="00626AF2">
        <w:rPr>
          <w:color w:val="auto"/>
        </w:rPr>
        <w:t xml:space="preserve"> </w:t>
      </w:r>
      <w:r w:rsidR="00E6084E" w:rsidRPr="00E6084E">
        <w:rPr>
          <w:color w:val="auto"/>
        </w:rPr>
        <w:t xml:space="preserve">1,5 ml przesączu, dodać 1,4 ml wody destylowanej oraz 100 </w:t>
      </w:r>
      <w:proofErr w:type="spellStart"/>
      <w:r w:rsidR="008E101D" w:rsidRPr="00E6084E">
        <w:rPr>
          <w:color w:val="auto"/>
        </w:rPr>
        <w:t>μ</w:t>
      </w:r>
      <w:r w:rsidR="00626AF2">
        <w:rPr>
          <w:color w:val="auto"/>
        </w:rPr>
        <w:t>l</w:t>
      </w:r>
      <w:proofErr w:type="spellEnd"/>
      <w:r w:rsidR="003C3C41">
        <w:rPr>
          <w:color w:val="auto"/>
        </w:rPr>
        <w:t xml:space="preserve"> mieszaniny </w:t>
      </w:r>
      <w:proofErr w:type="spellStart"/>
      <w:r w:rsidR="003C3C41">
        <w:rPr>
          <w:color w:val="auto"/>
        </w:rPr>
        <w:t>Griessa</w:t>
      </w:r>
      <w:proofErr w:type="spellEnd"/>
      <w:r w:rsidR="003C3C41">
        <w:rPr>
          <w:color w:val="auto"/>
        </w:rPr>
        <w:t xml:space="preserve"> (1:1)</w:t>
      </w:r>
      <w:r w:rsidR="00E6084E" w:rsidRPr="00E6084E">
        <w:rPr>
          <w:color w:val="auto"/>
        </w:rPr>
        <w:t xml:space="preserve">, następnie wymieszać i pozostawić bez dostępu światła na 30 minut. Po upływie 30 minut wykonać pomiar absorbancji roztworu na spektrofotometrze przy długości fali 538 </w:t>
      </w:r>
      <w:proofErr w:type="spellStart"/>
      <w:r w:rsidR="00E6084E" w:rsidRPr="00E6084E">
        <w:rPr>
          <w:color w:val="auto"/>
        </w:rPr>
        <w:t>nm</w:t>
      </w:r>
      <w:proofErr w:type="spellEnd"/>
      <w:r w:rsidR="00E6084E" w:rsidRPr="00E6084E">
        <w:rPr>
          <w:color w:val="auto"/>
        </w:rPr>
        <w:t xml:space="preserve"> wobec próby kontrolnej</w:t>
      </w:r>
      <w:r w:rsidR="005D5AD0">
        <w:rPr>
          <w:color w:val="auto"/>
        </w:rPr>
        <w:t>.</w:t>
      </w:r>
      <w:r w:rsidR="00E6084E" w:rsidRPr="00E6084E">
        <w:rPr>
          <w:color w:val="auto"/>
        </w:rPr>
        <w:t xml:space="preserve"> Z wykr</w:t>
      </w:r>
      <w:r w:rsidR="008E101D">
        <w:rPr>
          <w:color w:val="auto"/>
        </w:rPr>
        <w:t xml:space="preserve">esu </w:t>
      </w:r>
      <w:r w:rsidR="005D5AD0">
        <w:rPr>
          <w:color w:val="auto"/>
        </w:rPr>
        <w:t xml:space="preserve">wzorcowego </w:t>
      </w:r>
      <w:r w:rsidR="008E101D">
        <w:rPr>
          <w:color w:val="auto"/>
        </w:rPr>
        <w:t>odczytać stężenie</w:t>
      </w:r>
      <w:r w:rsidR="00E6084E" w:rsidRPr="00E6084E">
        <w:rPr>
          <w:color w:val="auto"/>
        </w:rPr>
        <w:t xml:space="preserve"> jonów azot</w:t>
      </w:r>
      <w:r w:rsidR="00BF04B6">
        <w:rPr>
          <w:color w:val="auto"/>
        </w:rPr>
        <w:t>y</w:t>
      </w:r>
      <w:r w:rsidR="00E6084E" w:rsidRPr="00E6084E">
        <w:rPr>
          <w:color w:val="auto"/>
        </w:rPr>
        <w:t xml:space="preserve">nu </w:t>
      </w:r>
      <w:r w:rsidR="008E101D">
        <w:rPr>
          <w:color w:val="auto"/>
        </w:rPr>
        <w:t>wyrażone</w:t>
      </w:r>
      <w:r w:rsidR="00E6084E" w:rsidRPr="00E6084E">
        <w:rPr>
          <w:color w:val="auto"/>
        </w:rPr>
        <w:t xml:space="preserve"> w </w:t>
      </w:r>
      <w:proofErr w:type="spellStart"/>
      <w:r w:rsidR="00E6084E" w:rsidRPr="00E6084E">
        <w:rPr>
          <w:color w:val="auto"/>
        </w:rPr>
        <w:t>μg</w:t>
      </w:r>
      <w:proofErr w:type="spellEnd"/>
      <w:r w:rsidR="008E101D">
        <w:rPr>
          <w:color w:val="auto"/>
        </w:rPr>
        <w:t>/ml</w:t>
      </w:r>
      <w:r w:rsidR="005D5AD0">
        <w:rPr>
          <w:color w:val="auto"/>
        </w:rPr>
        <w:t>.</w:t>
      </w:r>
      <w:r w:rsidR="008E101D">
        <w:rPr>
          <w:color w:val="auto"/>
        </w:rPr>
        <w:t xml:space="preserve"> </w:t>
      </w:r>
    </w:p>
    <w:p w:rsidR="008E101D" w:rsidRDefault="008E101D" w:rsidP="008E101D">
      <w:pPr>
        <w:pStyle w:val="Default"/>
        <w:jc w:val="both"/>
        <w:rPr>
          <w:b/>
          <w:bCs/>
          <w:color w:val="auto"/>
        </w:rPr>
      </w:pPr>
    </w:p>
    <w:p w:rsidR="003F6A47" w:rsidRPr="00E6084E" w:rsidRDefault="00DA78E6" w:rsidP="008E101D">
      <w:pPr>
        <w:pStyle w:val="Default"/>
        <w:jc w:val="both"/>
        <w:rPr>
          <w:b/>
          <w:bCs/>
          <w:color w:val="auto"/>
        </w:rPr>
      </w:pPr>
      <w:r w:rsidRPr="00E6084E">
        <w:rPr>
          <w:b/>
          <w:bCs/>
          <w:color w:val="auto"/>
        </w:rPr>
        <w:t>Obliczanie wyników oznaczenia</w:t>
      </w:r>
    </w:p>
    <w:p w:rsidR="00DA78E6" w:rsidRPr="00E6084E" w:rsidRDefault="00DA78E6" w:rsidP="008E101D">
      <w:pPr>
        <w:pStyle w:val="Default"/>
        <w:jc w:val="both"/>
        <w:rPr>
          <w:color w:val="auto"/>
        </w:rPr>
      </w:pPr>
      <w:r w:rsidRPr="00E6084E">
        <w:rPr>
          <w:b/>
          <w:bCs/>
          <w:color w:val="auto"/>
        </w:rPr>
        <w:t xml:space="preserve"> </w:t>
      </w:r>
    </w:p>
    <w:p w:rsidR="00DA78E6" w:rsidRPr="00E6084E" w:rsidRDefault="00DA78E6" w:rsidP="008E101D">
      <w:pPr>
        <w:pStyle w:val="Default"/>
        <w:jc w:val="both"/>
        <w:rPr>
          <w:color w:val="auto"/>
        </w:rPr>
      </w:pPr>
      <w:r w:rsidRPr="00E6084E">
        <w:rPr>
          <w:color w:val="auto"/>
        </w:rPr>
        <w:t>Zawartość azot</w:t>
      </w:r>
      <w:r w:rsidR="00BF04B6">
        <w:rPr>
          <w:color w:val="auto"/>
        </w:rPr>
        <w:t>y</w:t>
      </w:r>
      <w:r w:rsidRPr="00E6084E">
        <w:rPr>
          <w:color w:val="auto"/>
        </w:rPr>
        <w:t>nu (X) wyrażoną jako jon azot</w:t>
      </w:r>
      <w:r w:rsidR="00BF04B6">
        <w:rPr>
          <w:color w:val="auto"/>
        </w:rPr>
        <w:t>y</w:t>
      </w:r>
      <w:r w:rsidRPr="00E6084E">
        <w:rPr>
          <w:color w:val="auto"/>
        </w:rPr>
        <w:t>nu (NO</w:t>
      </w:r>
      <w:r w:rsidR="009D7B87">
        <w:rPr>
          <w:color w:val="auto"/>
          <w:vertAlign w:val="subscript"/>
        </w:rPr>
        <w:t>2</w:t>
      </w:r>
      <w:r w:rsidR="009D7B87">
        <w:rPr>
          <w:color w:val="auto"/>
          <w:vertAlign w:val="superscript"/>
        </w:rPr>
        <w:t>-</w:t>
      </w:r>
      <w:r w:rsidRPr="00E6084E">
        <w:rPr>
          <w:color w:val="auto"/>
        </w:rPr>
        <w:t xml:space="preserve">) w mg/kg produktu obliczyć ze wzoru: </w:t>
      </w:r>
    </w:p>
    <w:p w:rsidR="003F6A47" w:rsidRPr="00E6084E" w:rsidRDefault="003F6A47" w:rsidP="008E101D">
      <w:pPr>
        <w:pStyle w:val="Default"/>
        <w:jc w:val="both"/>
        <w:rPr>
          <w:color w:val="auto"/>
        </w:rPr>
      </w:pPr>
    </w:p>
    <w:p w:rsidR="00AE215A" w:rsidRPr="00AE215A" w:rsidRDefault="003F6A47" w:rsidP="00A70FB0">
      <w:pPr>
        <w:pStyle w:val="Default"/>
        <w:jc w:val="center"/>
        <w:rPr>
          <w:b/>
          <w:color w:val="auto"/>
          <w:u w:val="single"/>
          <w:lang w:val="en-GB"/>
        </w:rPr>
      </w:pPr>
      <w:r w:rsidRPr="00AE215A">
        <w:rPr>
          <w:b/>
          <w:color w:val="auto"/>
          <w:lang w:val="en-GB"/>
        </w:rPr>
        <w:t>X</w:t>
      </w:r>
      <w:r w:rsidR="00B00342" w:rsidRPr="00AE215A">
        <w:rPr>
          <w:b/>
          <w:color w:val="auto"/>
          <w:lang w:val="en-GB"/>
        </w:rPr>
        <w:t>[mg/kg]</w:t>
      </w:r>
      <w:r w:rsidRPr="00AE215A">
        <w:rPr>
          <w:b/>
          <w:color w:val="auto"/>
          <w:lang w:val="en-GB"/>
        </w:rPr>
        <w:t>=</w:t>
      </w:r>
      <w:r w:rsidR="00385FBC">
        <w:rPr>
          <w:b/>
          <w:color w:val="auto"/>
          <w:lang w:val="en-GB"/>
        </w:rPr>
        <w:t xml:space="preserve">  </w:t>
      </w:r>
      <w:r w:rsidR="00AE215A">
        <w:rPr>
          <w:b/>
          <w:color w:val="auto"/>
          <w:lang w:val="en-GB"/>
        </w:rPr>
        <w:t xml:space="preserve"> </w:t>
      </w:r>
      <w:r w:rsidRPr="00AE215A">
        <w:rPr>
          <w:b/>
          <w:color w:val="auto"/>
          <w:u w:val="single"/>
          <w:lang w:val="en-GB"/>
        </w:rPr>
        <w:t>m</w:t>
      </w:r>
      <w:r w:rsidRPr="00AE215A">
        <w:rPr>
          <w:b/>
          <w:color w:val="auto"/>
          <w:u w:val="single"/>
          <w:vertAlign w:val="subscript"/>
          <w:lang w:val="en-GB"/>
        </w:rPr>
        <w:t>1</w:t>
      </w:r>
      <w:r w:rsidR="00B00342" w:rsidRPr="00AE215A">
        <w:rPr>
          <w:b/>
          <w:color w:val="auto"/>
          <w:u w:val="single"/>
          <w:vertAlign w:val="subscript"/>
          <w:lang w:val="en-GB"/>
        </w:rPr>
        <w:t xml:space="preserve"> </w:t>
      </w:r>
      <w:r w:rsidR="00B00342" w:rsidRPr="00AE215A">
        <w:rPr>
          <w:b/>
          <w:color w:val="auto"/>
          <w:u w:val="single"/>
          <w:lang w:val="en-GB"/>
        </w:rPr>
        <w:t>[mg/ml]</w:t>
      </w:r>
      <w:r w:rsidRPr="00AE215A">
        <w:rPr>
          <w:b/>
          <w:color w:val="auto"/>
          <w:u w:val="single"/>
          <w:vertAlign w:val="subscript"/>
          <w:lang w:val="en-GB"/>
        </w:rPr>
        <w:t xml:space="preserve"> </w:t>
      </w:r>
      <w:r w:rsidR="00EF7CD5" w:rsidRPr="00AE215A">
        <w:rPr>
          <w:b/>
          <w:i/>
          <w:iCs/>
          <w:color w:val="auto"/>
          <w:u w:val="single"/>
          <w:lang w:val="en-GB"/>
        </w:rPr>
        <w:t>•</w:t>
      </w:r>
      <w:r w:rsidRPr="00AE215A">
        <w:rPr>
          <w:b/>
          <w:color w:val="auto"/>
          <w:u w:val="single"/>
          <w:vertAlign w:val="subscript"/>
          <w:lang w:val="en-GB"/>
        </w:rPr>
        <w:t xml:space="preserve"> </w:t>
      </w:r>
      <w:r w:rsidR="00E71019" w:rsidRPr="00AE215A">
        <w:rPr>
          <w:b/>
          <w:color w:val="auto"/>
          <w:u w:val="single"/>
          <w:lang w:val="en-GB"/>
        </w:rPr>
        <w:t>50</w:t>
      </w:r>
      <w:r w:rsidR="00B00342" w:rsidRPr="00AE215A">
        <w:rPr>
          <w:b/>
          <w:color w:val="auto"/>
          <w:u w:val="single"/>
          <w:lang w:val="en-GB"/>
        </w:rPr>
        <w:t>[ml]</w:t>
      </w:r>
    </w:p>
    <w:p w:rsidR="003F6A47" w:rsidRPr="00B00342" w:rsidRDefault="00AE215A" w:rsidP="00A70FB0">
      <w:pPr>
        <w:pStyle w:val="Default"/>
        <w:jc w:val="center"/>
        <w:rPr>
          <w:b/>
          <w:color w:val="auto"/>
        </w:rPr>
      </w:pPr>
      <w:r>
        <w:rPr>
          <w:b/>
          <w:color w:val="auto"/>
          <w:lang w:val="en-GB"/>
        </w:rPr>
        <w:t xml:space="preserve">                </w:t>
      </w:r>
      <w:r w:rsidR="003F6A47" w:rsidRPr="00AE215A">
        <w:rPr>
          <w:b/>
          <w:color w:val="auto"/>
          <w:lang w:val="en-GB"/>
        </w:rPr>
        <w:t xml:space="preserve"> </w:t>
      </w:r>
      <w:r w:rsidR="003F6A47" w:rsidRPr="00E6084E">
        <w:rPr>
          <w:b/>
          <w:color w:val="auto"/>
        </w:rPr>
        <w:t>V</w:t>
      </w:r>
      <w:r w:rsidR="003F6A47" w:rsidRPr="00E6084E">
        <w:rPr>
          <w:b/>
          <w:color w:val="auto"/>
          <w:vertAlign w:val="subscript"/>
        </w:rPr>
        <w:t>1</w:t>
      </w:r>
      <w:r w:rsidR="00B00342">
        <w:rPr>
          <w:b/>
          <w:color w:val="auto"/>
        </w:rPr>
        <w:t>[ml]</w:t>
      </w:r>
      <w:r w:rsidR="003F6A47" w:rsidRPr="00E6084E">
        <w:rPr>
          <w:b/>
          <w:color w:val="auto"/>
          <w:vertAlign w:val="subscript"/>
        </w:rPr>
        <w:t xml:space="preserve"> </w:t>
      </w:r>
      <w:r w:rsidR="00EF7CD5" w:rsidRPr="00E6084E">
        <w:rPr>
          <w:b/>
          <w:i/>
          <w:iCs/>
          <w:color w:val="auto"/>
        </w:rPr>
        <w:t xml:space="preserve">• </w:t>
      </w:r>
      <w:r w:rsidR="00EF7CD5" w:rsidRPr="00E6084E">
        <w:rPr>
          <w:b/>
          <w:color w:val="auto"/>
        </w:rPr>
        <w:t>m</w:t>
      </w:r>
      <w:r w:rsidR="00EF7CD5" w:rsidRPr="00E6084E">
        <w:rPr>
          <w:b/>
          <w:color w:val="auto"/>
          <w:vertAlign w:val="subscript"/>
        </w:rPr>
        <w:t>0</w:t>
      </w:r>
      <w:r w:rsidR="00B00342">
        <w:rPr>
          <w:b/>
          <w:color w:val="auto"/>
        </w:rPr>
        <w:t>[kg]</w:t>
      </w:r>
    </w:p>
    <w:p w:rsidR="003F6A47" w:rsidRPr="00E6084E" w:rsidRDefault="003F6A47" w:rsidP="008E101D">
      <w:pPr>
        <w:pStyle w:val="Default"/>
        <w:jc w:val="both"/>
        <w:rPr>
          <w:color w:val="auto"/>
        </w:rPr>
      </w:pPr>
    </w:p>
    <w:p w:rsidR="00DA78E6" w:rsidRPr="00E6084E" w:rsidRDefault="00DA78E6" w:rsidP="008E101D">
      <w:pPr>
        <w:pStyle w:val="Default"/>
        <w:jc w:val="both"/>
        <w:rPr>
          <w:color w:val="auto"/>
        </w:rPr>
      </w:pPr>
      <w:r w:rsidRPr="00E6084E">
        <w:rPr>
          <w:color w:val="auto"/>
        </w:rPr>
        <w:t xml:space="preserve">w którym: </w:t>
      </w:r>
    </w:p>
    <w:p w:rsidR="00DA78E6" w:rsidRPr="00E6084E" w:rsidRDefault="00DA78E6" w:rsidP="008E101D">
      <w:pPr>
        <w:pStyle w:val="Default"/>
        <w:ind w:left="708"/>
        <w:jc w:val="both"/>
        <w:rPr>
          <w:color w:val="auto"/>
        </w:rPr>
      </w:pPr>
      <w:r w:rsidRPr="00E6084E">
        <w:rPr>
          <w:i/>
          <w:iCs/>
          <w:color w:val="auto"/>
        </w:rPr>
        <w:t xml:space="preserve">m0 </w:t>
      </w:r>
      <w:r w:rsidRPr="00E6084E">
        <w:rPr>
          <w:color w:val="auto"/>
        </w:rPr>
        <w:t>– masa próbki pobrana do oznaczenia (</w:t>
      </w:r>
      <w:r w:rsidR="005D5AD0">
        <w:rPr>
          <w:color w:val="auto"/>
        </w:rPr>
        <w:t>5</w:t>
      </w:r>
      <w:r w:rsidRPr="00E6084E">
        <w:rPr>
          <w:color w:val="auto"/>
        </w:rPr>
        <w:t>g</w:t>
      </w:r>
      <w:r w:rsidR="00121D9E">
        <w:rPr>
          <w:color w:val="auto"/>
        </w:rPr>
        <w:t>= 0,005kg</w:t>
      </w:r>
      <w:r w:rsidRPr="00E6084E">
        <w:rPr>
          <w:color w:val="auto"/>
        </w:rPr>
        <w:t xml:space="preserve">), </w:t>
      </w:r>
    </w:p>
    <w:p w:rsidR="00DA78E6" w:rsidRPr="00E6084E" w:rsidRDefault="00DA78E6" w:rsidP="008E101D">
      <w:pPr>
        <w:pStyle w:val="Default"/>
        <w:ind w:left="708"/>
        <w:jc w:val="both"/>
        <w:rPr>
          <w:color w:val="auto"/>
        </w:rPr>
      </w:pPr>
      <w:r w:rsidRPr="00E6084E">
        <w:rPr>
          <w:i/>
          <w:iCs/>
          <w:color w:val="auto"/>
        </w:rPr>
        <w:t xml:space="preserve">V1 </w:t>
      </w:r>
      <w:r w:rsidRPr="00E6084E">
        <w:rPr>
          <w:color w:val="auto"/>
        </w:rPr>
        <w:t>– objętość przesączu pobrana do oznaczenia spektrofotometrycznego (</w:t>
      </w:r>
      <w:r w:rsidR="005D5AD0">
        <w:rPr>
          <w:color w:val="auto"/>
        </w:rPr>
        <w:t xml:space="preserve">1,5 </w:t>
      </w:r>
      <w:r w:rsidRPr="00E6084E">
        <w:rPr>
          <w:color w:val="auto"/>
        </w:rPr>
        <w:t xml:space="preserve">ml), </w:t>
      </w:r>
    </w:p>
    <w:p w:rsidR="00DA78E6" w:rsidRPr="00E6084E" w:rsidRDefault="00DA78E6" w:rsidP="008E101D">
      <w:pPr>
        <w:pStyle w:val="Default"/>
        <w:ind w:left="708"/>
        <w:jc w:val="both"/>
        <w:rPr>
          <w:color w:val="auto"/>
        </w:rPr>
      </w:pPr>
      <w:r w:rsidRPr="00E6084E">
        <w:rPr>
          <w:i/>
          <w:iCs/>
          <w:color w:val="auto"/>
        </w:rPr>
        <w:t xml:space="preserve">m1 </w:t>
      </w:r>
      <w:r w:rsidRPr="00E6084E">
        <w:rPr>
          <w:color w:val="auto"/>
        </w:rPr>
        <w:t>– masa jonów (NO</w:t>
      </w:r>
      <w:r w:rsidR="009D7B87">
        <w:rPr>
          <w:color w:val="auto"/>
          <w:vertAlign w:val="subscript"/>
        </w:rPr>
        <w:t>2</w:t>
      </w:r>
      <w:r w:rsidRPr="00E6084E">
        <w:rPr>
          <w:color w:val="auto"/>
        </w:rPr>
        <w:t>-) zawarta w V1 objętości przesączu odczytana z wykresu kalibracyjnego (</w:t>
      </w:r>
      <w:r w:rsidR="005D5AD0">
        <w:rPr>
          <w:color w:val="auto"/>
        </w:rPr>
        <w:t xml:space="preserve">odczyt z krzywej wzorcowej </w:t>
      </w:r>
      <w:r w:rsidR="00121D9E">
        <w:rPr>
          <w:color w:val="auto"/>
        </w:rPr>
        <w:t xml:space="preserve">w </w:t>
      </w:r>
      <w:proofErr w:type="spellStart"/>
      <w:r w:rsidRPr="00E6084E">
        <w:rPr>
          <w:color w:val="auto"/>
        </w:rPr>
        <w:t>μg</w:t>
      </w:r>
      <w:proofErr w:type="spellEnd"/>
      <w:r w:rsidR="005D5AD0">
        <w:rPr>
          <w:color w:val="auto"/>
        </w:rPr>
        <w:t>/ml</w:t>
      </w:r>
      <w:r w:rsidR="00121D9E">
        <w:rPr>
          <w:color w:val="auto"/>
        </w:rPr>
        <w:t xml:space="preserve"> należy przeliczyć na mg/ml !</w:t>
      </w:r>
      <w:r w:rsidRPr="00E6084E">
        <w:rPr>
          <w:color w:val="auto"/>
        </w:rPr>
        <w:t xml:space="preserve">) </w:t>
      </w:r>
    </w:p>
    <w:p w:rsidR="00E6084E" w:rsidRPr="00A70FB0" w:rsidRDefault="00E71019" w:rsidP="00A70FB0">
      <w:pPr>
        <w:pStyle w:val="Default"/>
        <w:ind w:left="708"/>
        <w:jc w:val="both"/>
        <w:rPr>
          <w:color w:val="auto"/>
        </w:rPr>
      </w:pPr>
      <w:r>
        <w:rPr>
          <w:i/>
          <w:iCs/>
          <w:color w:val="auto"/>
        </w:rPr>
        <w:t>50</w:t>
      </w:r>
      <w:r w:rsidR="00DA78E6" w:rsidRPr="00E6084E">
        <w:rPr>
          <w:i/>
          <w:iCs/>
          <w:color w:val="auto"/>
        </w:rPr>
        <w:t xml:space="preserve"> </w:t>
      </w:r>
      <w:r w:rsidR="00DA78E6" w:rsidRPr="00E6084E">
        <w:rPr>
          <w:color w:val="auto"/>
        </w:rPr>
        <w:t xml:space="preserve">– całkowita objętość przesączu (ml). </w:t>
      </w:r>
    </w:p>
    <w:p w:rsidR="00E6084E" w:rsidRDefault="00E6084E" w:rsidP="00DA78E6">
      <w:pPr>
        <w:pStyle w:val="Default"/>
        <w:rPr>
          <w:b/>
          <w:bCs/>
        </w:rPr>
      </w:pPr>
    </w:p>
    <w:p w:rsidR="00DA78E6" w:rsidRPr="00E6084E" w:rsidRDefault="00DA78E6" w:rsidP="00DA78E6">
      <w:pPr>
        <w:rPr>
          <w:rFonts w:ascii="Times New Roman" w:hAnsi="Times New Roman" w:cs="Times New Roman"/>
          <w:sz w:val="24"/>
          <w:szCs w:val="24"/>
        </w:rPr>
      </w:pPr>
    </w:p>
    <w:sectPr w:rsidR="00DA78E6" w:rsidRPr="00E6084E" w:rsidSect="00A70FB0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AC8" w:rsidRDefault="00A01AC8" w:rsidP="00E6084E">
      <w:pPr>
        <w:spacing w:after="0" w:line="240" w:lineRule="auto"/>
      </w:pPr>
      <w:r>
        <w:separator/>
      </w:r>
    </w:p>
  </w:endnote>
  <w:endnote w:type="continuationSeparator" w:id="0">
    <w:p w:rsidR="00A01AC8" w:rsidRDefault="00A01AC8" w:rsidP="00E60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AC8" w:rsidRDefault="00A01AC8" w:rsidP="00E6084E">
      <w:pPr>
        <w:spacing w:after="0" w:line="240" w:lineRule="auto"/>
      </w:pPr>
      <w:r>
        <w:separator/>
      </w:r>
    </w:p>
  </w:footnote>
  <w:footnote w:type="continuationSeparator" w:id="0">
    <w:p w:rsidR="00A01AC8" w:rsidRDefault="00A01AC8" w:rsidP="00E608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763"/>
    <w:multiLevelType w:val="hybridMultilevel"/>
    <w:tmpl w:val="CD664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F352F"/>
    <w:multiLevelType w:val="hybridMultilevel"/>
    <w:tmpl w:val="2A80EF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B7E5A"/>
    <w:multiLevelType w:val="hybridMultilevel"/>
    <w:tmpl w:val="88B4F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8E6"/>
    <w:rsid w:val="00006951"/>
    <w:rsid w:val="000A1E27"/>
    <w:rsid w:val="0010497C"/>
    <w:rsid w:val="00121D9E"/>
    <w:rsid w:val="00125984"/>
    <w:rsid w:val="00156338"/>
    <w:rsid w:val="00157E92"/>
    <w:rsid w:val="001A0677"/>
    <w:rsid w:val="001B709D"/>
    <w:rsid w:val="00231699"/>
    <w:rsid w:val="00233D0F"/>
    <w:rsid w:val="00293E5D"/>
    <w:rsid w:val="00303DAB"/>
    <w:rsid w:val="00385FBC"/>
    <w:rsid w:val="003A4EBD"/>
    <w:rsid w:val="003C3C41"/>
    <w:rsid w:val="003F32D9"/>
    <w:rsid w:val="003F6A47"/>
    <w:rsid w:val="004152AC"/>
    <w:rsid w:val="004918A1"/>
    <w:rsid w:val="004A7742"/>
    <w:rsid w:val="004C4A56"/>
    <w:rsid w:val="00547712"/>
    <w:rsid w:val="00557277"/>
    <w:rsid w:val="00566FCB"/>
    <w:rsid w:val="0059504A"/>
    <w:rsid w:val="005B5D35"/>
    <w:rsid w:val="005D5AD0"/>
    <w:rsid w:val="00617AA5"/>
    <w:rsid w:val="00626AF2"/>
    <w:rsid w:val="00643384"/>
    <w:rsid w:val="00656D6E"/>
    <w:rsid w:val="00691886"/>
    <w:rsid w:val="006A648E"/>
    <w:rsid w:val="006C169F"/>
    <w:rsid w:val="006C192C"/>
    <w:rsid w:val="006D53C6"/>
    <w:rsid w:val="006E1A0D"/>
    <w:rsid w:val="006E7599"/>
    <w:rsid w:val="00766D4D"/>
    <w:rsid w:val="007B5177"/>
    <w:rsid w:val="007E7615"/>
    <w:rsid w:val="007F658E"/>
    <w:rsid w:val="0084108E"/>
    <w:rsid w:val="008D3341"/>
    <w:rsid w:val="008E101D"/>
    <w:rsid w:val="008F6E9A"/>
    <w:rsid w:val="00955024"/>
    <w:rsid w:val="0096062D"/>
    <w:rsid w:val="00984948"/>
    <w:rsid w:val="009860DA"/>
    <w:rsid w:val="009A57AD"/>
    <w:rsid w:val="009D2B4A"/>
    <w:rsid w:val="009D5550"/>
    <w:rsid w:val="009D7B87"/>
    <w:rsid w:val="009E7E49"/>
    <w:rsid w:val="00A01AC8"/>
    <w:rsid w:val="00A4240D"/>
    <w:rsid w:val="00A44878"/>
    <w:rsid w:val="00A47A09"/>
    <w:rsid w:val="00A568F2"/>
    <w:rsid w:val="00A70FB0"/>
    <w:rsid w:val="00A941E8"/>
    <w:rsid w:val="00A96B66"/>
    <w:rsid w:val="00AE17C2"/>
    <w:rsid w:val="00AE215A"/>
    <w:rsid w:val="00AE2713"/>
    <w:rsid w:val="00AE68E9"/>
    <w:rsid w:val="00AF21A8"/>
    <w:rsid w:val="00B00342"/>
    <w:rsid w:val="00B01DE6"/>
    <w:rsid w:val="00B24FB4"/>
    <w:rsid w:val="00B422EF"/>
    <w:rsid w:val="00B97891"/>
    <w:rsid w:val="00BA67FE"/>
    <w:rsid w:val="00BF04B6"/>
    <w:rsid w:val="00C43D7F"/>
    <w:rsid w:val="00C4471A"/>
    <w:rsid w:val="00C45126"/>
    <w:rsid w:val="00C727DA"/>
    <w:rsid w:val="00C82A1A"/>
    <w:rsid w:val="00CC6CFF"/>
    <w:rsid w:val="00CF31C6"/>
    <w:rsid w:val="00D4704C"/>
    <w:rsid w:val="00DA78E6"/>
    <w:rsid w:val="00DC2268"/>
    <w:rsid w:val="00DC4270"/>
    <w:rsid w:val="00E21DE2"/>
    <w:rsid w:val="00E30458"/>
    <w:rsid w:val="00E6084E"/>
    <w:rsid w:val="00E71019"/>
    <w:rsid w:val="00EF4344"/>
    <w:rsid w:val="00EF7CD5"/>
    <w:rsid w:val="00F338C8"/>
    <w:rsid w:val="00FB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3C6DA"/>
  <w15:chartTrackingRefBased/>
  <w15:docId w15:val="{C97B8F9D-0299-4724-80FA-ED9A1F89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A7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7F658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C43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60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084E"/>
  </w:style>
  <w:style w:type="paragraph" w:styleId="Stopka">
    <w:name w:val="footer"/>
    <w:basedOn w:val="Normalny"/>
    <w:link w:val="StopkaZnak"/>
    <w:uiPriority w:val="99"/>
    <w:unhideWhenUsed/>
    <w:rsid w:val="00E60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084E"/>
  </w:style>
  <w:style w:type="paragraph" w:styleId="NormalnyWeb">
    <w:name w:val="Normal (Web)"/>
    <w:basedOn w:val="Normalny"/>
    <w:uiPriority w:val="99"/>
    <w:semiHidden/>
    <w:unhideWhenUsed/>
    <w:rsid w:val="006D53C6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D53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D53C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7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7A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Roztw%C3%B3r" TargetMode="External"/><Relationship Id="rId13" Type="http://schemas.openxmlformats.org/officeDocument/2006/relationships/hyperlink" Target="https://pl.wikipedia.org/wiki/Analiza_chemiczn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l.wikipedia.org/wiki/Kolorymetria_(chemia)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s://pl.wikipedia.org/wiki/Diazowani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.wikipedia.org/wiki/Kwas_octow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l.wikipedia.org/wiki/Barwniki_azowe" TargetMode="External"/><Relationship Id="rId10" Type="http://schemas.openxmlformats.org/officeDocument/2006/relationships/hyperlink" Target="https://pl.wikipedia.org/wiki/1-Naftyloamin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l.wikipedia.org/wiki/Kwas_sulfanilowy" TargetMode="External"/><Relationship Id="rId14" Type="http://schemas.openxmlformats.org/officeDocument/2006/relationships/hyperlink" Target="https://pl.wikipedia.org/wiki/Azotyn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4B9E4-614D-4BBA-AA71-D420D2EBC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801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</dc:creator>
  <cp:keywords/>
  <dc:description/>
  <cp:lastModifiedBy>UMED</cp:lastModifiedBy>
  <cp:revision>3</cp:revision>
  <cp:lastPrinted>2024-04-15T07:33:00Z</cp:lastPrinted>
  <dcterms:created xsi:type="dcterms:W3CDTF">2024-04-15T08:39:00Z</dcterms:created>
  <dcterms:modified xsi:type="dcterms:W3CDTF">2026-03-06T10:59:00Z</dcterms:modified>
</cp:coreProperties>
</file>