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1" w:type="dxa"/>
        <w:tblInd w:w="-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05"/>
      </w:tblGrid>
      <w:tr w:rsidR="00701821" w:rsidRPr="007044ED" w14:paraId="29C5C32A" w14:textId="77777777" w:rsidTr="00560959">
        <w:trPr>
          <w:trHeight w:hRule="exact" w:val="583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30309D" w14:textId="77777777" w:rsidR="00701821" w:rsidRPr="007044ED" w:rsidRDefault="00701821" w:rsidP="005A039A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701821" w:rsidRPr="007044ED" w14:paraId="10253AC3" w14:textId="77777777" w:rsidTr="00560959">
        <w:trPr>
          <w:trHeight w:hRule="exact" w:val="420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DCEAB7" w14:textId="77777777" w:rsidR="00701821" w:rsidRPr="007044ED" w:rsidRDefault="00701821" w:rsidP="005A039A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701821" w:rsidRPr="007044ED" w14:paraId="66090080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BFADE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4010D" w14:textId="055C25F9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bCs/>
                <w:lang w:val="pl-PL"/>
              </w:rPr>
            </w:pPr>
            <w:r w:rsidRPr="007044ED">
              <w:rPr>
                <w:b/>
                <w:bCs/>
                <w:lang w:val="pl-PL"/>
              </w:rPr>
              <w:t>Uniwersytet Medyczny im. Piastów Śląskich we Wrocławiu</w:t>
            </w:r>
          </w:p>
        </w:tc>
      </w:tr>
      <w:tr w:rsidR="00701821" w:rsidRPr="007044ED" w14:paraId="6F27DC4C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11DC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D2DA" w14:textId="2AEC46E3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bCs/>
                <w:lang w:val="pl-PL"/>
              </w:rPr>
            </w:pPr>
            <w:r w:rsidRPr="007044ED">
              <w:rPr>
                <w:b/>
                <w:bCs/>
                <w:lang w:val="pl-PL"/>
              </w:rPr>
              <w:t>prof. dr hab. Piotr Ponikowski</w:t>
            </w:r>
          </w:p>
        </w:tc>
      </w:tr>
      <w:tr w:rsidR="00701821" w:rsidRPr="007044ED" w14:paraId="440F3514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B3DFA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58F16" w14:textId="20567A64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bCs/>
                <w:lang w:val="pl-PL"/>
              </w:rPr>
            </w:pPr>
            <w:r w:rsidRPr="007044ED">
              <w:rPr>
                <w:rFonts w:cs="Calibri"/>
                <w:b/>
                <w:bCs/>
                <w:lang w:val="pl-PL"/>
              </w:rPr>
              <w:t>Rektor</w:t>
            </w:r>
          </w:p>
        </w:tc>
      </w:tr>
      <w:tr w:rsidR="00701821" w:rsidRPr="007044ED" w14:paraId="44D03C34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4244C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13DE5" w14:textId="7DFF25CF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bCs/>
                <w:lang w:val="pl-PL"/>
              </w:rPr>
            </w:pPr>
            <w:r w:rsidRPr="007044ED">
              <w:rPr>
                <w:b/>
                <w:bCs/>
                <w:lang w:val="pl-PL"/>
              </w:rPr>
              <w:t>Wybrzeże Ludwika Pasteura 1, 50-367 Wrocław</w:t>
            </w:r>
          </w:p>
        </w:tc>
      </w:tr>
      <w:tr w:rsidR="00701821" w:rsidRPr="007044ED" w14:paraId="7B694B7D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271B5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0F164" w14:textId="49D3EC62" w:rsidR="00701821" w:rsidRPr="007044ED" w:rsidRDefault="00F9694C" w:rsidP="005A039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+48 71 784 10 12</w:t>
            </w:r>
          </w:p>
        </w:tc>
      </w:tr>
      <w:tr w:rsidR="00701821" w:rsidRPr="007044ED" w14:paraId="42F3C35E" w14:textId="77777777" w:rsidTr="0056095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E32A" w14:textId="77777777" w:rsidR="00701821" w:rsidRPr="007044ED" w:rsidRDefault="00701821" w:rsidP="005A039A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7330" w14:textId="4BC1784B" w:rsidR="00701821" w:rsidRPr="007044ED" w:rsidRDefault="004A4E99" w:rsidP="00F9694C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bCs/>
                <w:lang w:val="pl-PL"/>
              </w:rPr>
            </w:pPr>
            <w:hyperlink r:id="rId7" w:history="1">
              <w:r w:rsidR="00F9694C">
                <w:rPr>
                  <w:rStyle w:val="Hipercze"/>
                  <w:b/>
                  <w:bCs/>
                  <w:color w:val="000000" w:themeColor="text1"/>
                  <w:u w:val="none"/>
                  <w:lang w:val="pl-PL"/>
                </w:rPr>
                <w:t>RN</w:t>
              </w:r>
              <w:r w:rsidR="00701821" w:rsidRPr="007044ED">
                <w:rPr>
                  <w:rStyle w:val="Hipercze"/>
                  <w:b/>
                  <w:bCs/>
                  <w:color w:val="000000" w:themeColor="text1"/>
                  <w:u w:val="none"/>
                  <w:lang w:val="pl-PL"/>
                </w:rPr>
                <w:t>@umw.edu.pl</w:t>
              </w:r>
            </w:hyperlink>
          </w:p>
        </w:tc>
      </w:tr>
      <w:tr w:rsidR="00701821" w:rsidRPr="007044ED" w14:paraId="76BFC160" w14:textId="77777777" w:rsidTr="00560959">
        <w:trPr>
          <w:trHeight w:hRule="exact" w:val="482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9AB934" w14:textId="77777777" w:rsidR="00701821" w:rsidRPr="007044ED" w:rsidRDefault="00701821" w:rsidP="005A039A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044ED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701821" w:rsidRPr="007044ED" w14:paraId="75350056" w14:textId="77777777" w:rsidTr="0056095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A76A3" w14:textId="6D6BA328" w:rsidR="00701821" w:rsidRPr="007044ED" w:rsidRDefault="00701821" w:rsidP="005A039A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b/>
                <w:noProof/>
                <w:sz w:val="18"/>
                <w:lang w:val="pl-PL"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EF2FD" wp14:editId="2BB73CD3">
                      <wp:simplePos x="0" y="0"/>
                      <wp:positionH relativeFrom="column">
                        <wp:posOffset>5908</wp:posOffset>
                      </wp:positionH>
                      <wp:positionV relativeFrom="paragraph">
                        <wp:posOffset>152428</wp:posOffset>
                      </wp:positionV>
                      <wp:extent cx="245165" cy="225287"/>
                      <wp:effectExtent l="0" t="0" r="0" b="0"/>
                      <wp:wrapNone/>
                      <wp:docPr id="179832961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65" cy="2252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A6278E" w14:textId="1DDD2EC4" w:rsidR="00701821" w:rsidRDefault="00701821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1CEF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.45pt;margin-top:12pt;width:19.3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" filled="f" stroked="f" strokeweight=".5pt">
                      <v:textbox>
                        <w:txbxContent>
                          <w:p w14:paraId="5BA6278E" w14:textId="1DDD2EC4" w:rsidR="00701821" w:rsidRDefault="00701821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4ED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5056214F" w14:textId="47AD9588" w:rsidR="00701821" w:rsidRPr="007044ED" w:rsidRDefault="00701821" w:rsidP="005A039A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ab/>
            </w:r>
            <w:r w:rsidRPr="004C1EA1">
              <w:rPr>
                <w:rFonts w:ascii="Times New Roman"/>
                <w:sz w:val="18"/>
                <w:lang w:val="pl-PL"/>
              </w:rPr>
              <w:t>indywidualnej</w:t>
            </w:r>
          </w:p>
          <w:p w14:paraId="1348A23A" w14:textId="694E525A" w:rsidR="00701821" w:rsidRPr="007044ED" w:rsidRDefault="007D3927" w:rsidP="005A039A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b/>
                <w:noProof/>
                <w:sz w:val="18"/>
                <w:lang w:val="pl-PL"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3080C" wp14:editId="5387263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89535</wp:posOffset>
                      </wp:positionV>
                      <wp:extent cx="263398" cy="424434"/>
                      <wp:effectExtent l="0" t="0" r="0" b="0"/>
                      <wp:wrapNone/>
                      <wp:docPr id="125437195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63398" cy="4244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920B35" w14:textId="77777777" w:rsidR="007D3927" w:rsidRDefault="007D3927" w:rsidP="007D3927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13080C" id="_x0000_s1027" type="#_x0000_t202" style="position:absolute;left:0;text-align:left;margin-left:.9pt;margin-top:7.05pt;width:20.75pt;height:33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" filled="f" stroked="f" strokeweight=".5pt">
                      <v:textbox>
                        <w:txbxContent>
                          <w:p w14:paraId="1E920B35" w14:textId="77777777" w:rsidR="007D3927" w:rsidRDefault="007D3927" w:rsidP="007D3927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821"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01821"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01821"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="00701821" w:rsidRPr="007044ED">
              <w:rPr>
                <w:rFonts w:ascii="Arial" w:hAnsi="Arial" w:cs="Arial"/>
                <w:b/>
                <w:lang w:val="pl-PL"/>
              </w:rPr>
              <w:tab/>
            </w:r>
            <w:r w:rsidR="00701821" w:rsidRPr="007044ED">
              <w:rPr>
                <w:rFonts w:ascii="Times New Roman"/>
                <w:sz w:val="18"/>
                <w:lang w:val="pl-PL"/>
              </w:rPr>
              <w:t>zespo</w:t>
            </w:r>
            <w:r w:rsidR="00701821" w:rsidRPr="007044ED">
              <w:rPr>
                <w:rFonts w:ascii="Times New Roman"/>
                <w:sz w:val="18"/>
                <w:lang w:val="pl-PL"/>
              </w:rPr>
              <w:t>ł</w:t>
            </w:r>
            <w:r w:rsidR="00701821" w:rsidRPr="007044ED">
              <w:rPr>
                <w:rFonts w:ascii="Times New Roman"/>
                <w:sz w:val="18"/>
                <w:lang w:val="pl-PL"/>
              </w:rPr>
              <w:t>owej</w:t>
            </w:r>
          </w:p>
          <w:p w14:paraId="64844C55" w14:textId="77777777" w:rsidR="00701821" w:rsidRPr="007044ED" w:rsidRDefault="00701821" w:rsidP="005A039A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42713ABC" w14:textId="77777777" w:rsidR="00701821" w:rsidRPr="007044ED" w:rsidRDefault="00701821" w:rsidP="005A039A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ab/>
            </w:r>
            <w:r w:rsidRPr="007044ED">
              <w:rPr>
                <w:rFonts w:ascii="Times New Roman"/>
                <w:sz w:val="18"/>
                <w:lang w:val="pl-PL"/>
              </w:rPr>
              <w:t>naukowej</w:t>
            </w:r>
          </w:p>
          <w:p w14:paraId="0CE720AE" w14:textId="77777777" w:rsidR="00701821" w:rsidRPr="007044ED" w:rsidRDefault="00701821" w:rsidP="005A039A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ab/>
            </w:r>
            <w:r w:rsidRPr="007044ED">
              <w:rPr>
                <w:rFonts w:ascii="Times New Roman"/>
                <w:sz w:val="18"/>
                <w:lang w:val="pl-PL"/>
              </w:rPr>
              <w:t>dydaktycznej</w:t>
            </w:r>
          </w:p>
          <w:p w14:paraId="19DD79A5" w14:textId="77777777" w:rsidR="00701821" w:rsidRPr="007044ED" w:rsidRDefault="00701821" w:rsidP="005A039A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ab/>
            </w:r>
            <w:r w:rsidRPr="007044ED">
              <w:rPr>
                <w:rFonts w:ascii="Times New Roman"/>
                <w:sz w:val="18"/>
                <w:lang w:val="pl-PL"/>
              </w:rPr>
              <w:t>wdro</w:t>
            </w:r>
            <w:r w:rsidRPr="007044ED">
              <w:rPr>
                <w:rFonts w:ascii="Times New Roman"/>
                <w:sz w:val="18"/>
                <w:lang w:val="pl-PL"/>
              </w:rPr>
              <w:t>ż</w:t>
            </w:r>
            <w:r w:rsidRPr="007044ED">
              <w:rPr>
                <w:rFonts w:ascii="Times New Roman"/>
                <w:sz w:val="18"/>
                <w:lang w:val="pl-PL"/>
              </w:rPr>
              <w:t>eniowej</w:t>
            </w:r>
          </w:p>
          <w:p w14:paraId="60907EE3" w14:textId="77777777" w:rsidR="00701821" w:rsidRPr="007044ED" w:rsidRDefault="00701821" w:rsidP="005A039A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ab/>
            </w:r>
            <w:r w:rsidRPr="007044ED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C367" w14:textId="77777777" w:rsidR="00701821" w:rsidRPr="007044ED" w:rsidRDefault="00701821" w:rsidP="005A039A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44ED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4A4E99">
              <w:rPr>
                <w:rFonts w:ascii="Arial" w:hAnsi="Arial" w:cs="Arial"/>
                <w:b/>
                <w:lang w:val="pl-PL"/>
              </w:rPr>
            </w:r>
            <w:r w:rsidR="004A4E9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044ED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044ED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701821" w:rsidRPr="007044ED" w14:paraId="6F6D6545" w14:textId="77777777" w:rsidTr="00560959">
        <w:trPr>
          <w:trHeight w:hRule="exact" w:val="526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5ACCBF" w14:textId="77777777" w:rsidR="00701821" w:rsidRPr="007044ED" w:rsidRDefault="00701821" w:rsidP="005A039A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044ED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044ED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701821" w:rsidRPr="007044ED" w14:paraId="17EBF3F7" w14:textId="77777777" w:rsidTr="0056095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F683" w14:textId="77777777" w:rsidR="00701821" w:rsidRPr="007044ED" w:rsidRDefault="00701821" w:rsidP="005A039A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7CF64" w14:textId="12496664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  <w:r w:rsidRPr="007044ED">
              <w:rPr>
                <w:rFonts w:cs="Calibri"/>
                <w:b/>
                <w:lang w:val="pl-PL"/>
              </w:rPr>
              <w:t>Magdalena Ewa Zemelka-Wiącek</w:t>
            </w:r>
          </w:p>
        </w:tc>
      </w:tr>
      <w:tr w:rsidR="00701821" w:rsidRPr="007044ED" w14:paraId="2579D05B" w14:textId="77777777" w:rsidTr="0056095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B0CE5" w14:textId="77777777" w:rsidR="00701821" w:rsidRPr="007044ED" w:rsidRDefault="00701821" w:rsidP="005A039A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8695" w14:textId="29439B1A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  <w:r w:rsidRPr="007044ED">
              <w:rPr>
                <w:rFonts w:cs="Calibri"/>
                <w:b/>
                <w:lang w:val="pl-PL"/>
              </w:rPr>
              <w:t xml:space="preserve">Dr hab. </w:t>
            </w:r>
            <w:r w:rsidR="002168C5">
              <w:rPr>
                <w:rFonts w:cs="Calibri"/>
                <w:b/>
                <w:lang w:val="pl-PL"/>
              </w:rPr>
              <w:t>n. med.</w:t>
            </w:r>
          </w:p>
        </w:tc>
      </w:tr>
      <w:tr w:rsidR="00701821" w:rsidRPr="007044ED" w14:paraId="339BB804" w14:textId="77777777" w:rsidTr="0056095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FED0" w14:textId="77777777" w:rsidR="00701821" w:rsidRPr="007044ED" w:rsidRDefault="00701821" w:rsidP="005A039A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3D8A" w14:textId="1C0A2AB4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  <w:r w:rsidRPr="007044ED">
              <w:rPr>
                <w:rFonts w:cs="Calibri"/>
                <w:b/>
                <w:lang w:val="pl-PL"/>
              </w:rPr>
              <w:t>Nauki Medyczne i Nauki o Zdrowiu</w:t>
            </w:r>
          </w:p>
        </w:tc>
      </w:tr>
      <w:tr w:rsidR="00701821" w:rsidRPr="007044ED" w14:paraId="2801156A" w14:textId="77777777" w:rsidTr="0056095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F460B" w14:textId="77777777" w:rsidR="00701821" w:rsidRPr="007044ED" w:rsidRDefault="00701821" w:rsidP="005A039A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16F9" w14:textId="50846343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  <w:r w:rsidRPr="007044ED">
              <w:rPr>
                <w:rFonts w:cs="Calibri"/>
                <w:b/>
                <w:lang w:val="pl-PL"/>
              </w:rPr>
              <w:t xml:space="preserve">Nauki </w:t>
            </w:r>
            <w:r w:rsidR="004C1EA1">
              <w:rPr>
                <w:rFonts w:cs="Calibri"/>
                <w:b/>
                <w:lang w:val="pl-PL"/>
              </w:rPr>
              <w:t>M</w:t>
            </w:r>
            <w:r w:rsidRPr="007044ED">
              <w:rPr>
                <w:rFonts w:cs="Calibri"/>
                <w:b/>
                <w:lang w:val="pl-PL"/>
              </w:rPr>
              <w:t>edyczne</w:t>
            </w:r>
          </w:p>
        </w:tc>
      </w:tr>
      <w:tr w:rsidR="00701821" w:rsidRPr="007044ED" w14:paraId="0D3371FE" w14:textId="77777777" w:rsidTr="0056095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F5DDF" w14:textId="77777777" w:rsidR="00701821" w:rsidRPr="007044ED" w:rsidRDefault="00701821" w:rsidP="005A039A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044ED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044ED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101A" w14:textId="77777777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  <w:r w:rsidRPr="007044ED">
              <w:rPr>
                <w:rFonts w:cs="Calibri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44ED">
              <w:rPr>
                <w:rFonts w:cs="Calibri"/>
                <w:b/>
                <w:lang w:val="pl-PL"/>
              </w:rPr>
              <w:instrText xml:space="preserve"> FORMTEXT </w:instrText>
            </w:r>
            <w:r w:rsidRPr="007044ED">
              <w:rPr>
                <w:rFonts w:cs="Calibri"/>
                <w:b/>
                <w:lang w:val="pl-PL"/>
              </w:rPr>
            </w:r>
            <w:r w:rsidRPr="007044ED">
              <w:rPr>
                <w:rFonts w:cs="Calibri"/>
                <w:b/>
                <w:lang w:val="pl-PL"/>
              </w:rPr>
              <w:fldChar w:fldCharType="separate"/>
            </w:r>
            <w:r w:rsidRPr="007044ED">
              <w:rPr>
                <w:rFonts w:cs="Calibri"/>
                <w:b/>
                <w:lang w:val="pl-PL"/>
              </w:rPr>
              <w:t> </w:t>
            </w:r>
            <w:r w:rsidRPr="007044ED">
              <w:rPr>
                <w:rFonts w:cs="Calibri"/>
                <w:b/>
                <w:lang w:val="pl-PL"/>
              </w:rPr>
              <w:t> </w:t>
            </w:r>
            <w:r w:rsidRPr="007044ED">
              <w:rPr>
                <w:rFonts w:cs="Calibri"/>
                <w:b/>
                <w:lang w:val="pl-PL"/>
              </w:rPr>
              <w:t> </w:t>
            </w:r>
            <w:r w:rsidRPr="007044ED">
              <w:rPr>
                <w:rFonts w:cs="Calibri"/>
                <w:b/>
                <w:lang w:val="pl-PL"/>
              </w:rPr>
              <w:t> </w:t>
            </w:r>
            <w:r w:rsidRPr="007044ED">
              <w:rPr>
                <w:rFonts w:cs="Calibri"/>
                <w:b/>
                <w:lang w:val="pl-PL"/>
              </w:rPr>
              <w:t> </w:t>
            </w:r>
            <w:r w:rsidRPr="007044ED">
              <w:rPr>
                <w:rFonts w:cs="Calibri"/>
                <w:b/>
                <w:lang w:val="pl-PL"/>
              </w:rPr>
              <w:fldChar w:fldCharType="end"/>
            </w:r>
          </w:p>
        </w:tc>
      </w:tr>
      <w:tr w:rsidR="00701821" w:rsidRPr="007044ED" w14:paraId="2B0436F1" w14:textId="77777777" w:rsidTr="00560959">
        <w:trPr>
          <w:trHeight w:hRule="exact" w:val="427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A8C7C3" w14:textId="77777777" w:rsidR="00701821" w:rsidRPr="007044ED" w:rsidRDefault="00701821" w:rsidP="005A039A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044ED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701821" w:rsidRPr="007044ED" w14:paraId="6C09B704" w14:textId="77777777" w:rsidTr="00560959">
        <w:trPr>
          <w:trHeight w:val="230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5F3F" w14:textId="43DF5B7C" w:rsidR="00A332AA" w:rsidRPr="007044ED" w:rsidRDefault="00A332AA" w:rsidP="00C41083">
            <w:pPr>
              <w:shd w:val="clear" w:color="auto" w:fill="F2F2F2" w:themeFill="background1" w:themeFillShade="F2"/>
              <w:spacing w:line="288" w:lineRule="auto"/>
              <w:jc w:val="center"/>
              <w:rPr>
                <w:rFonts w:cs="Calibri"/>
                <w:b/>
                <w:bCs/>
                <w:lang w:val="pl-PL"/>
              </w:rPr>
            </w:pPr>
            <w:r w:rsidRPr="007044ED">
              <w:rPr>
                <w:rFonts w:cs="Calibri"/>
                <w:b/>
                <w:bCs/>
                <w:color w:val="0070C0"/>
                <w:shd w:val="clear" w:color="auto" w:fill="F2F2F2" w:themeFill="background1" w:themeFillShade="F2"/>
                <w:lang w:val="pl-PL"/>
              </w:rPr>
              <w:t xml:space="preserve">Nowoczesne podejście do diagnostyki chorób alergicznych: zalety stosowania kabiny ekspozycji </w:t>
            </w:r>
            <w:r w:rsidR="009F34DC">
              <w:rPr>
                <w:rFonts w:cs="Calibri"/>
                <w:b/>
                <w:bCs/>
                <w:color w:val="0070C0"/>
                <w:shd w:val="clear" w:color="auto" w:fill="F2F2F2" w:themeFill="background1" w:themeFillShade="F2"/>
                <w:lang w:val="pl-PL"/>
              </w:rPr>
              <w:t xml:space="preserve">                         </w:t>
            </w:r>
            <w:r w:rsidRPr="007044ED">
              <w:rPr>
                <w:rFonts w:cs="Calibri"/>
                <w:b/>
                <w:bCs/>
                <w:color w:val="0070C0"/>
                <w:shd w:val="clear" w:color="auto" w:fill="F2F2F2" w:themeFill="background1" w:themeFillShade="F2"/>
                <w:lang w:val="pl-PL"/>
              </w:rPr>
              <w:t>w precyzyjnej,</w:t>
            </w:r>
            <w:r w:rsidRPr="007044ED">
              <w:rPr>
                <w:rFonts w:cs="Calibri"/>
                <w:b/>
                <w:bCs/>
                <w:color w:val="0070C0"/>
                <w:lang w:val="pl-PL"/>
              </w:rPr>
              <w:t xml:space="preserve"> </w:t>
            </w:r>
            <w:r w:rsidRPr="007044ED">
              <w:rPr>
                <w:rFonts w:cs="Calibri"/>
                <w:b/>
                <w:bCs/>
                <w:color w:val="0070C0"/>
                <w:shd w:val="clear" w:color="auto" w:fill="F2F2F2" w:themeFill="background1" w:themeFillShade="F2"/>
                <w:lang w:val="pl-PL"/>
              </w:rPr>
              <w:t>kontrolowanej i bezpiecznej ocenie reakcji na alergeny</w:t>
            </w:r>
          </w:p>
          <w:p w14:paraId="32B78761" w14:textId="42749603" w:rsidR="001A2043" w:rsidRPr="002A59BB" w:rsidRDefault="002A59BB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  <w:r w:rsidRPr="002A59BB">
              <w:rPr>
                <w:lang w:val="pl-PL"/>
              </w:rPr>
              <w:t xml:space="preserve">Osiągnięcie naukowe dr hab. </w:t>
            </w:r>
            <w:r w:rsidR="002955AC">
              <w:rPr>
                <w:lang w:val="pl-PL"/>
              </w:rPr>
              <w:t xml:space="preserve">n. med. </w:t>
            </w:r>
            <w:r w:rsidRPr="002A59BB">
              <w:rPr>
                <w:lang w:val="pl-PL"/>
              </w:rPr>
              <w:t xml:space="preserve">Magdaleny </w:t>
            </w:r>
            <w:proofErr w:type="spellStart"/>
            <w:r w:rsidRPr="002A59BB">
              <w:rPr>
                <w:lang w:val="pl-PL"/>
              </w:rPr>
              <w:t>Zemelki</w:t>
            </w:r>
            <w:proofErr w:type="spellEnd"/>
            <w:r w:rsidRPr="002A59BB">
              <w:rPr>
                <w:lang w:val="pl-PL"/>
              </w:rPr>
              <w:t>-Wiącek</w:t>
            </w:r>
            <w:r w:rsidR="00EA6357">
              <w:rPr>
                <w:lang w:val="pl-PL"/>
              </w:rPr>
              <w:t>, prof. UMW</w:t>
            </w:r>
            <w:r w:rsidRPr="002A59BB">
              <w:rPr>
                <w:lang w:val="pl-PL"/>
              </w:rPr>
              <w:t xml:space="preserve"> obejmuje cykl trzech spójnych tematycznie publikacji poświęconych walidacji i klinicznemu wykorzystaniu kabin ekspozycji </w:t>
            </w:r>
            <w:proofErr w:type="spellStart"/>
            <w:r w:rsidRPr="002A59BB">
              <w:rPr>
                <w:lang w:val="pl-PL"/>
              </w:rPr>
              <w:t>alergenowej</w:t>
            </w:r>
            <w:proofErr w:type="spellEnd"/>
            <w:r w:rsidRPr="002A59BB">
              <w:rPr>
                <w:lang w:val="pl-PL"/>
              </w:rPr>
              <w:t xml:space="preserve"> (AEC, </w:t>
            </w:r>
            <w:proofErr w:type="spellStart"/>
            <w:r w:rsidRPr="002A59BB">
              <w:rPr>
                <w:lang w:val="pl-PL"/>
              </w:rPr>
              <w:t>allergen</w:t>
            </w:r>
            <w:proofErr w:type="spellEnd"/>
            <w:r w:rsidRPr="002A59BB">
              <w:rPr>
                <w:lang w:val="pl-PL"/>
              </w:rPr>
              <w:t xml:space="preserve"> </w:t>
            </w:r>
            <w:proofErr w:type="spellStart"/>
            <w:r w:rsidRPr="002A59BB">
              <w:rPr>
                <w:lang w:val="pl-PL"/>
              </w:rPr>
              <w:t>exposure</w:t>
            </w:r>
            <w:proofErr w:type="spellEnd"/>
            <w:r w:rsidRPr="002A59BB">
              <w:rPr>
                <w:lang w:val="pl-PL"/>
              </w:rPr>
              <w:t xml:space="preserve"> </w:t>
            </w:r>
            <w:proofErr w:type="spellStart"/>
            <w:r w:rsidRPr="002A59BB">
              <w:rPr>
                <w:lang w:val="pl-PL"/>
              </w:rPr>
              <w:t>chambers</w:t>
            </w:r>
            <w:proofErr w:type="spellEnd"/>
            <w:r w:rsidRPr="002A59BB">
              <w:rPr>
                <w:lang w:val="pl-PL"/>
              </w:rPr>
              <w:t xml:space="preserve">) w diagnostyce chorób alergicznych. </w:t>
            </w:r>
            <w:r w:rsidR="001A2043" w:rsidRPr="002A59BB">
              <w:rPr>
                <w:rFonts w:cs="Calibri"/>
                <w:bCs/>
                <w:lang w:val="pl-PL"/>
              </w:rPr>
              <w:t xml:space="preserve">Badania doprowadziły do potwierdzenia przydatności AEC jako narzędzia umożliwiającego standaryzowaną ocenę reakcji alergicznych w warunkach kontrolowanej ekspozycji na alergeny oraz do opracowania praktycznych rozwiązań wspierających diagnostykę i monitorowanie leczenia pacjentów. Prace te należą do pierwszych tak kompleksowych opracowań dotyczących </w:t>
            </w:r>
            <w:r w:rsidR="008D059A">
              <w:rPr>
                <w:rFonts w:cs="Calibri"/>
                <w:bCs/>
                <w:lang w:val="pl-PL"/>
              </w:rPr>
              <w:t xml:space="preserve">walidacji i </w:t>
            </w:r>
            <w:r w:rsidR="001A2043" w:rsidRPr="002A59BB">
              <w:rPr>
                <w:rFonts w:cs="Calibri"/>
                <w:bCs/>
                <w:lang w:val="pl-PL"/>
              </w:rPr>
              <w:t>zastosowania AEC w nowoczesnej alergologii.</w:t>
            </w:r>
          </w:p>
          <w:p w14:paraId="0BC55DE6" w14:textId="77777777" w:rsidR="001A2043" w:rsidRDefault="001A2043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</w:p>
          <w:p w14:paraId="548D4D6B" w14:textId="2A92F86B" w:rsidR="001A2043" w:rsidRPr="00826A0B" w:rsidRDefault="001A2043" w:rsidP="00C41083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  <w:r w:rsidRPr="00826A0B">
              <w:rPr>
                <w:lang w:val="pl-PL"/>
              </w:rPr>
              <w:t xml:space="preserve">Przedstawione badania wykazały wysoką zgodność odpowiedzi klinicznych uzyskiwanych w warunkach kontrolowanej ekspozycji </w:t>
            </w:r>
            <w:proofErr w:type="spellStart"/>
            <w:r w:rsidRPr="00826A0B">
              <w:rPr>
                <w:lang w:val="pl-PL"/>
              </w:rPr>
              <w:t>alergenowej</w:t>
            </w:r>
            <w:proofErr w:type="spellEnd"/>
            <w:r w:rsidRPr="00826A0B">
              <w:rPr>
                <w:lang w:val="pl-PL"/>
              </w:rPr>
              <w:t xml:space="preserve"> z objawami obserwowanymi podczas naturalnej ekspozycji </w:t>
            </w:r>
            <w:r w:rsidRPr="00826A0B">
              <w:rPr>
                <w:lang w:val="pl-PL"/>
              </w:rPr>
              <w:lastRenderedPageBreak/>
              <w:t>środowiskowej, potwierdzając przydatność AEC jako narzędzia umożliwiającego standaryzowaną ocenę reakcji alergicznych. Szczególnego znaczenia nabiera to w obliczu narastającej częstości występowania chorób alergicznych, zwłaszcza alergicznego nieżytu nosa, alergicznego zapalenia spojówek oraz astmy, dla których konieczne jest opracowywanie precyzyjnych, obiektywnych i powtarzalnych metod diagnostycznych oraz oceny skuteczności leczenia.</w:t>
            </w:r>
          </w:p>
          <w:p w14:paraId="53303F11" w14:textId="77777777" w:rsidR="001A2043" w:rsidRPr="00826A0B" w:rsidRDefault="001A2043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</w:p>
          <w:p w14:paraId="0EFA81CA" w14:textId="6B552C72" w:rsidR="00A332AA" w:rsidRPr="007044ED" w:rsidRDefault="00A332AA" w:rsidP="00C41083">
            <w:pPr>
              <w:widowControl/>
              <w:spacing w:line="288" w:lineRule="auto"/>
              <w:ind w:right="28"/>
              <w:jc w:val="both"/>
              <w:rPr>
                <w:rFonts w:cs="Calibri"/>
                <w:bCs/>
                <w:lang w:val="pl-PL"/>
              </w:rPr>
            </w:pPr>
            <w:r w:rsidRPr="00826A0B">
              <w:rPr>
                <w:rFonts w:cs="Calibri"/>
                <w:bCs/>
                <w:lang w:val="pl-PL"/>
              </w:rPr>
              <w:t>Badania zostały zrealizowane</w:t>
            </w:r>
            <w:r w:rsidRPr="007044ED">
              <w:rPr>
                <w:rFonts w:cs="Calibri"/>
                <w:bCs/>
                <w:lang w:val="pl-PL"/>
              </w:rPr>
              <w:t xml:space="preserve"> przez dr </w:t>
            </w:r>
            <w:r w:rsidR="0036006E">
              <w:rPr>
                <w:rFonts w:cs="Calibri"/>
                <w:bCs/>
                <w:lang w:val="pl-PL"/>
              </w:rPr>
              <w:t xml:space="preserve">hab. </w:t>
            </w:r>
            <w:proofErr w:type="spellStart"/>
            <w:r w:rsidRPr="007044ED">
              <w:rPr>
                <w:rFonts w:cs="Calibri"/>
                <w:bCs/>
                <w:lang w:val="pl-PL"/>
              </w:rPr>
              <w:t>Zemelkę</w:t>
            </w:r>
            <w:proofErr w:type="spellEnd"/>
            <w:r w:rsidRPr="007044ED">
              <w:rPr>
                <w:rFonts w:cs="Calibri"/>
                <w:bCs/>
                <w:lang w:val="pl-PL"/>
              </w:rPr>
              <w:t xml:space="preserve">-Wiącek, w ramach działalności naukowej prowadzonej w Katedrze i Zakładzie Immunologii Klinicznej Uniwersytetu Medycznego im. Piastów Śląskich we Wrocławiu, we współpracy z zespołem badawczym kierowanym przez prof. dr hab. Marka </w:t>
            </w:r>
            <w:proofErr w:type="spellStart"/>
            <w:r w:rsidRPr="007044ED">
              <w:rPr>
                <w:rFonts w:cs="Calibri"/>
                <w:bCs/>
                <w:lang w:val="pl-PL"/>
              </w:rPr>
              <w:t>Jutela</w:t>
            </w:r>
            <w:proofErr w:type="spellEnd"/>
            <w:r w:rsidRPr="007044ED">
              <w:rPr>
                <w:rFonts w:cs="Calibri"/>
                <w:bCs/>
                <w:lang w:val="pl-PL"/>
              </w:rPr>
              <w:t>.</w:t>
            </w:r>
            <w:r w:rsidR="008D059A">
              <w:rPr>
                <w:rFonts w:cs="Calibri"/>
                <w:bCs/>
                <w:lang w:val="pl-PL"/>
              </w:rPr>
              <w:t xml:space="preserve"> Kandydatka jest pierwszym autorem wszystkich przedstawionych prac, a </w:t>
            </w:r>
            <w:r w:rsidR="008D059A">
              <w:rPr>
                <w:lang w:val="pl-PL"/>
              </w:rPr>
              <w:t xml:space="preserve">ich wyniki stanowiły podstawę jej osiągnięcia habilitacyjnego. </w:t>
            </w:r>
          </w:p>
          <w:p w14:paraId="57721421" w14:textId="77777777" w:rsidR="00F746C6" w:rsidRPr="007044ED" w:rsidRDefault="00F746C6" w:rsidP="00C41083">
            <w:pPr>
              <w:widowControl/>
              <w:spacing w:line="288" w:lineRule="auto"/>
              <w:ind w:right="28"/>
              <w:jc w:val="both"/>
              <w:rPr>
                <w:rFonts w:cs="Calibri"/>
                <w:bCs/>
                <w:lang w:val="pl-PL"/>
              </w:rPr>
            </w:pPr>
          </w:p>
          <w:p w14:paraId="6E0BBFCE" w14:textId="016AF713" w:rsidR="00924FDC" w:rsidRPr="007044ED" w:rsidRDefault="00826A0B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lang w:val="pl-PL"/>
              </w:rPr>
            </w:pPr>
            <w:r>
              <w:rPr>
                <w:rFonts w:cs="Calibri"/>
                <w:lang w:val="pl-PL"/>
              </w:rPr>
              <w:t>B</w:t>
            </w:r>
            <w:r w:rsidR="00F746C6" w:rsidRPr="007044ED">
              <w:rPr>
                <w:rFonts w:cs="Calibri"/>
                <w:lang w:val="pl-PL"/>
              </w:rPr>
              <w:t xml:space="preserve">adania stanowią pierwszy tak kompleksowy i praktyczny przykład wykorzystania kabin ekspozycyjnych w codziennej diagnostyce chorób alergicznych. </w:t>
            </w:r>
            <w:r w:rsidR="004F562B" w:rsidRPr="007044ED">
              <w:rPr>
                <w:rFonts w:cs="Calibri"/>
                <w:lang w:val="pl-PL"/>
              </w:rPr>
              <w:t>O</w:t>
            </w:r>
            <w:r w:rsidR="00924FDC" w:rsidRPr="007044ED">
              <w:rPr>
                <w:rFonts w:cs="Calibri"/>
                <w:lang w:val="pl-PL"/>
              </w:rPr>
              <w:t xml:space="preserve">siągnięcie naukowe koncentruje się na porównawczej analizie skuteczności i przydatności klinicznej kabin ekspozycji </w:t>
            </w:r>
            <w:proofErr w:type="spellStart"/>
            <w:r w:rsidR="00924FDC" w:rsidRPr="007044ED">
              <w:rPr>
                <w:rFonts w:cs="Calibri"/>
                <w:lang w:val="pl-PL"/>
              </w:rPr>
              <w:t>alergenowej</w:t>
            </w:r>
            <w:proofErr w:type="spellEnd"/>
            <w:r w:rsidR="00924FDC" w:rsidRPr="007044ED">
              <w:rPr>
                <w:rFonts w:cs="Calibri"/>
                <w:lang w:val="pl-PL"/>
              </w:rPr>
              <w:t xml:space="preserve"> (AEC) względem klasycznych metod diagnostycznych oraz na opracowaniu nowoczesnego algorytmu diagnostycznego wykorzystującego AEC w ocenie pacjentów z chorobami alergicznymi. Kluczowe znaczenie miały badania opublikowane w latach 2024–2025, w szczególności praca „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Comparative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Evaluation of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an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Allergen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Exposure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Chamber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and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Nasal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Allergen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Challenge Versus In-Field Symptom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Assessment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in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Patients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With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Allergic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Rhinitis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="00924FDC" w:rsidRPr="007D3927">
              <w:rPr>
                <w:rFonts w:cs="Calibri"/>
                <w:i/>
                <w:iCs/>
                <w:lang w:val="pl-PL"/>
              </w:rPr>
              <w:t>Triggered</w:t>
            </w:r>
            <w:proofErr w:type="spellEnd"/>
            <w:r w:rsidR="00924FDC" w:rsidRPr="007D3927">
              <w:rPr>
                <w:rFonts w:cs="Calibri"/>
                <w:i/>
                <w:iCs/>
                <w:lang w:val="pl-PL"/>
              </w:rPr>
              <w:t xml:space="preserve"> by Timothy Grass Pollen</w:t>
            </w:r>
            <w:r w:rsidR="00924FDC" w:rsidRPr="007044ED">
              <w:rPr>
                <w:rFonts w:cs="Calibri"/>
                <w:lang w:val="pl-PL"/>
              </w:rPr>
              <w:t>”</w:t>
            </w:r>
            <w:r w:rsidR="007D3927">
              <w:rPr>
                <w:rFonts w:cs="Calibri"/>
                <w:lang w:val="pl-PL"/>
              </w:rPr>
              <w:t xml:space="preserve">(czasopismo </w:t>
            </w:r>
            <w:proofErr w:type="spellStart"/>
            <w:r w:rsidR="007D3927" w:rsidRPr="007D3927">
              <w:rPr>
                <w:rFonts w:cs="Calibri"/>
                <w:i/>
                <w:iCs/>
                <w:lang w:val="pl-PL"/>
              </w:rPr>
              <w:t>Allergy</w:t>
            </w:r>
            <w:proofErr w:type="spellEnd"/>
            <w:r w:rsidR="008D059A">
              <w:rPr>
                <w:rFonts w:cs="Calibri"/>
                <w:i/>
                <w:iCs/>
                <w:lang w:val="pl-PL"/>
              </w:rPr>
              <w:t>, 2025</w:t>
            </w:r>
            <w:r w:rsidR="007D3927">
              <w:rPr>
                <w:rFonts w:cs="Calibri"/>
                <w:lang w:val="pl-PL"/>
              </w:rPr>
              <w:t>)</w:t>
            </w:r>
            <w:r w:rsidR="00924FDC" w:rsidRPr="007044ED">
              <w:rPr>
                <w:rFonts w:cs="Calibri"/>
                <w:lang w:val="pl-PL"/>
              </w:rPr>
              <w:t xml:space="preserve">, w której po raz pierwszy bezpośrednio porównano odpowiedzi uzyskiwane w kabinie ekspozycyjnej, donosowej próbie prowokacyjnej oraz podczas naturalnej ekspozycji środowiskowej w sezonie pylenia traw. Uzyskane wyniki wykazały wysoką zgodność odpowiedzi klinicznych pomiędzy oceną prowadzoną w </w:t>
            </w:r>
            <w:r w:rsidR="008D059A">
              <w:rPr>
                <w:rFonts w:cs="Calibri"/>
                <w:lang w:val="pl-PL"/>
              </w:rPr>
              <w:t xml:space="preserve">kabinie </w:t>
            </w:r>
            <w:r w:rsidR="00924FDC" w:rsidRPr="007044ED">
              <w:rPr>
                <w:rFonts w:cs="Calibri"/>
                <w:lang w:val="pl-PL"/>
              </w:rPr>
              <w:t>AEC</w:t>
            </w:r>
            <w:r w:rsidR="007D3927">
              <w:rPr>
                <w:rFonts w:cs="Calibri"/>
                <w:lang w:val="pl-PL"/>
              </w:rPr>
              <w:t>,</w:t>
            </w:r>
            <w:r w:rsidR="00924FDC" w:rsidRPr="007044ED">
              <w:rPr>
                <w:rFonts w:cs="Calibri"/>
                <w:lang w:val="pl-PL"/>
              </w:rPr>
              <w:t xml:space="preserve"> a objawami obserwowanymi podczas naturalnej ekspozycji na alergeny, przy jednocześnie słabszej korelacji dla </w:t>
            </w:r>
            <w:r w:rsidR="00FE7FFB">
              <w:rPr>
                <w:rFonts w:cs="Calibri"/>
                <w:lang w:val="pl-PL"/>
              </w:rPr>
              <w:t>prowokacji donosowej</w:t>
            </w:r>
            <w:r w:rsidR="00924FDC" w:rsidRPr="007044ED">
              <w:rPr>
                <w:rFonts w:cs="Calibri"/>
                <w:lang w:val="pl-PL"/>
              </w:rPr>
              <w:t>. Wyniki te potwierdziły translacyjny charakter AEC oraz wskazały, że metoda ta może stanowić wiarygodne i nowoczesne narzędzie diagnostyczne oraz badawcze wykorzystywane w monitorowaniu skuteczności leczenia chorób alergicznych.</w:t>
            </w:r>
          </w:p>
          <w:p w14:paraId="53CA439C" w14:textId="77777777" w:rsidR="00924FDC" w:rsidRPr="007044ED" w:rsidRDefault="00924FDC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lang w:val="pl-PL"/>
              </w:rPr>
            </w:pPr>
          </w:p>
          <w:p w14:paraId="1190A898" w14:textId="7EFD3D41" w:rsidR="00924FDC" w:rsidRPr="007044ED" w:rsidRDefault="00924FDC" w:rsidP="00C41083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lang w:val="pl-PL"/>
              </w:rPr>
            </w:pPr>
            <w:r w:rsidRPr="007044ED">
              <w:rPr>
                <w:rFonts w:cs="Calibri"/>
                <w:lang w:val="pl-PL"/>
              </w:rPr>
              <w:t>Istotnym elementem osiągnięcia było również opracowanie praktycznego algorytmu diagnostycznego dla alergicznego nieżytu nosa z wykorzystaniem kabin ekspozycji, opublikowanego w pracy „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Algorithms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 in 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Allergy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: 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Assessment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 of 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Rhinitis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 Using 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Allergen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 </w:t>
            </w:r>
            <w:proofErr w:type="spellStart"/>
            <w:r w:rsidRPr="007D3927">
              <w:rPr>
                <w:rFonts w:cs="Calibri"/>
                <w:i/>
                <w:iCs/>
                <w:lang w:val="pl-PL"/>
              </w:rPr>
              <w:t>Exposure</w:t>
            </w:r>
            <w:proofErr w:type="spellEnd"/>
            <w:r w:rsidRPr="007D3927">
              <w:rPr>
                <w:rFonts w:cs="Calibri"/>
                <w:i/>
                <w:iCs/>
                <w:lang w:val="pl-PL"/>
              </w:rPr>
              <w:t xml:space="preserve"> Chambers</w:t>
            </w:r>
            <w:r w:rsidRPr="007044ED">
              <w:rPr>
                <w:rFonts w:cs="Calibri"/>
                <w:lang w:val="pl-PL"/>
              </w:rPr>
              <w:t>”</w:t>
            </w:r>
            <w:r w:rsidR="007D3927">
              <w:rPr>
                <w:rFonts w:cs="Calibri"/>
                <w:lang w:val="pl-PL"/>
              </w:rPr>
              <w:t xml:space="preserve"> (czasopismo </w:t>
            </w:r>
            <w:proofErr w:type="spellStart"/>
            <w:r w:rsidR="007D3927" w:rsidRPr="007D3927">
              <w:rPr>
                <w:rFonts w:cs="Calibri"/>
                <w:i/>
                <w:iCs/>
                <w:lang w:val="pl-PL"/>
              </w:rPr>
              <w:t>Allergy</w:t>
            </w:r>
            <w:proofErr w:type="spellEnd"/>
            <w:r w:rsidR="008D059A">
              <w:rPr>
                <w:rFonts w:cs="Calibri"/>
                <w:i/>
                <w:iCs/>
                <w:lang w:val="pl-PL"/>
              </w:rPr>
              <w:t>, 2025</w:t>
            </w:r>
            <w:r w:rsidR="007D3927">
              <w:rPr>
                <w:rFonts w:cs="Calibri"/>
                <w:lang w:val="pl-PL"/>
              </w:rPr>
              <w:t>)</w:t>
            </w:r>
            <w:r w:rsidRPr="007044ED">
              <w:rPr>
                <w:rFonts w:cs="Calibri"/>
                <w:lang w:val="pl-PL"/>
              </w:rPr>
              <w:t xml:space="preserve">. W przedstawionym algorytmie AEC zostały zaproponowane jako nowoczesne narzędzie wspomagające diagnostykę pacjentów z niejednoznacznym obrazem klinicznym oraz monitorowanie skuteczności immunoterapii </w:t>
            </w:r>
            <w:proofErr w:type="spellStart"/>
            <w:r w:rsidRPr="007044ED">
              <w:rPr>
                <w:rFonts w:cs="Calibri"/>
                <w:lang w:val="pl-PL"/>
              </w:rPr>
              <w:t>alergenowej</w:t>
            </w:r>
            <w:proofErr w:type="spellEnd"/>
            <w:r w:rsidRPr="007044ED">
              <w:rPr>
                <w:rFonts w:cs="Calibri"/>
                <w:lang w:val="pl-PL"/>
              </w:rPr>
              <w:t xml:space="preserve"> i innych terapii przeciwalergicznych. Opracowany model integruje klasyczne metody diagnostyczne, takie jak punktowe testy skórne i oznaczenia swoistych </w:t>
            </w:r>
            <w:proofErr w:type="spellStart"/>
            <w:r w:rsidRPr="007044ED">
              <w:rPr>
                <w:rFonts w:cs="Calibri"/>
                <w:lang w:val="pl-PL"/>
              </w:rPr>
              <w:t>IgE</w:t>
            </w:r>
            <w:proofErr w:type="spellEnd"/>
            <w:r w:rsidRPr="007044ED">
              <w:rPr>
                <w:rFonts w:cs="Calibri"/>
                <w:lang w:val="pl-PL"/>
              </w:rPr>
              <w:t xml:space="preserve">, z kontrolowaną ekspozycją </w:t>
            </w:r>
            <w:proofErr w:type="spellStart"/>
            <w:r w:rsidRPr="007044ED">
              <w:rPr>
                <w:rFonts w:cs="Calibri"/>
                <w:lang w:val="pl-PL"/>
              </w:rPr>
              <w:t>alergenową</w:t>
            </w:r>
            <w:proofErr w:type="spellEnd"/>
            <w:r w:rsidRPr="007044ED">
              <w:rPr>
                <w:rFonts w:cs="Calibri"/>
                <w:lang w:val="pl-PL"/>
              </w:rPr>
              <w:t xml:space="preserve"> prowadzoną w warunkach kabiny ekspozycyjnej, umożliwiając bardziej precyzyjną i standaryzowaną ocenę reakcji alergicznych.</w:t>
            </w:r>
            <w:r w:rsidR="00F549DF">
              <w:rPr>
                <w:rFonts w:cs="Calibri"/>
                <w:lang w:val="pl-PL"/>
              </w:rPr>
              <w:t xml:space="preserve"> </w:t>
            </w:r>
            <w:r w:rsidR="00F549DF" w:rsidRPr="00F549DF">
              <w:rPr>
                <w:rFonts w:cs="Calibri"/>
                <w:lang w:val="pl-PL"/>
              </w:rPr>
              <w:t xml:space="preserve">Rozwiązanie to może przyczynić się do poprawy kwalifikacji pacjentów do immunoterapii </w:t>
            </w:r>
            <w:proofErr w:type="spellStart"/>
            <w:r w:rsidR="00F549DF" w:rsidRPr="00F549DF">
              <w:rPr>
                <w:rFonts w:cs="Calibri"/>
                <w:lang w:val="pl-PL"/>
              </w:rPr>
              <w:t>alergenowej</w:t>
            </w:r>
            <w:proofErr w:type="spellEnd"/>
            <w:r w:rsidR="00F549DF" w:rsidRPr="00F549DF">
              <w:rPr>
                <w:rFonts w:cs="Calibri"/>
                <w:lang w:val="pl-PL"/>
              </w:rPr>
              <w:t xml:space="preserve"> oraz oceny skuteczności leczenia.</w:t>
            </w:r>
          </w:p>
          <w:p w14:paraId="3D153AF1" w14:textId="77777777" w:rsidR="00FB5C47" w:rsidRPr="007044ED" w:rsidRDefault="00FB5C47" w:rsidP="00C41083">
            <w:pPr>
              <w:widowControl/>
              <w:spacing w:line="288" w:lineRule="auto"/>
              <w:ind w:right="28"/>
              <w:jc w:val="both"/>
              <w:rPr>
                <w:rFonts w:cs="Calibri"/>
                <w:lang w:val="pl-PL"/>
              </w:rPr>
            </w:pPr>
          </w:p>
          <w:p w14:paraId="6EA7AB56" w14:textId="5398C0A9" w:rsidR="00FB5C47" w:rsidRPr="007044ED" w:rsidRDefault="00FB5C47" w:rsidP="00C41083">
            <w:pPr>
              <w:widowControl/>
              <w:spacing w:line="288" w:lineRule="auto"/>
              <w:ind w:right="28"/>
              <w:jc w:val="both"/>
              <w:rPr>
                <w:rFonts w:cs="Calibri"/>
                <w:lang w:val="pl-PL"/>
              </w:rPr>
            </w:pPr>
            <w:r w:rsidRPr="007044ED">
              <w:rPr>
                <w:lang w:val="pl-PL"/>
              </w:rPr>
              <w:t>Uzupełnieniem osiągnięcia była również praca pt. „</w:t>
            </w:r>
            <w:r w:rsidRPr="007D3927">
              <w:rPr>
                <w:i/>
                <w:iCs/>
                <w:lang w:val="pl-PL"/>
              </w:rPr>
              <w:t xml:space="preserve">A Modern </w:t>
            </w:r>
            <w:proofErr w:type="spellStart"/>
            <w:r w:rsidRPr="007D3927">
              <w:rPr>
                <w:i/>
                <w:iCs/>
                <w:lang w:val="pl-PL"/>
              </w:rPr>
              <w:t>Approach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to </w:t>
            </w:r>
            <w:proofErr w:type="spellStart"/>
            <w:r w:rsidRPr="007D3927">
              <w:rPr>
                <w:i/>
                <w:iCs/>
                <w:lang w:val="pl-PL"/>
              </w:rPr>
              <w:t>Clinical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</w:t>
            </w:r>
            <w:proofErr w:type="spellStart"/>
            <w:r w:rsidRPr="007D3927">
              <w:rPr>
                <w:i/>
                <w:iCs/>
                <w:lang w:val="pl-PL"/>
              </w:rPr>
              <w:t>Outcome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</w:t>
            </w:r>
            <w:proofErr w:type="spellStart"/>
            <w:r w:rsidRPr="007D3927">
              <w:rPr>
                <w:i/>
                <w:iCs/>
                <w:lang w:val="pl-PL"/>
              </w:rPr>
              <w:t>Assessment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in </w:t>
            </w:r>
            <w:proofErr w:type="spellStart"/>
            <w:r w:rsidRPr="007D3927">
              <w:rPr>
                <w:i/>
                <w:iCs/>
                <w:lang w:val="pl-PL"/>
              </w:rPr>
              <w:t>Allergy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Management: </w:t>
            </w:r>
            <w:proofErr w:type="spellStart"/>
            <w:r w:rsidRPr="007D3927">
              <w:rPr>
                <w:i/>
                <w:iCs/>
                <w:lang w:val="pl-PL"/>
              </w:rPr>
              <w:t>Advantages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of </w:t>
            </w:r>
            <w:proofErr w:type="spellStart"/>
            <w:r w:rsidRPr="007D3927">
              <w:rPr>
                <w:i/>
                <w:iCs/>
                <w:lang w:val="pl-PL"/>
              </w:rPr>
              <w:t>Allergen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</w:t>
            </w:r>
            <w:proofErr w:type="spellStart"/>
            <w:r w:rsidRPr="007D3927">
              <w:rPr>
                <w:i/>
                <w:iCs/>
                <w:lang w:val="pl-PL"/>
              </w:rPr>
              <w:t>Exposure</w:t>
            </w:r>
            <w:proofErr w:type="spellEnd"/>
            <w:r w:rsidRPr="007D3927">
              <w:rPr>
                <w:i/>
                <w:iCs/>
                <w:lang w:val="pl-PL"/>
              </w:rPr>
              <w:t xml:space="preserve"> Chambers</w:t>
            </w:r>
            <w:r w:rsidRPr="007044ED">
              <w:rPr>
                <w:lang w:val="pl-PL"/>
              </w:rPr>
              <w:t>”</w:t>
            </w:r>
            <w:r w:rsidR="008D059A">
              <w:rPr>
                <w:lang w:val="pl-PL"/>
              </w:rPr>
              <w:t xml:space="preserve"> (</w:t>
            </w:r>
            <w:r w:rsidR="008D059A" w:rsidRPr="008D059A">
              <w:rPr>
                <w:rStyle w:val="docsum-journal-citation"/>
                <w:i/>
                <w:iCs/>
              </w:rPr>
              <w:t xml:space="preserve">J </w:t>
            </w:r>
            <w:proofErr w:type="spellStart"/>
            <w:r w:rsidR="008D059A" w:rsidRPr="008D059A">
              <w:rPr>
                <w:rStyle w:val="docsum-journal-citation"/>
                <w:i/>
                <w:iCs/>
              </w:rPr>
              <w:t>Clin</w:t>
            </w:r>
            <w:proofErr w:type="spellEnd"/>
            <w:r w:rsidR="008D059A" w:rsidRPr="008D059A">
              <w:rPr>
                <w:rStyle w:val="docsum-journal-citation"/>
                <w:i/>
                <w:iCs/>
              </w:rPr>
              <w:t xml:space="preserve"> Med</w:t>
            </w:r>
            <w:r w:rsidR="008D059A">
              <w:rPr>
                <w:rStyle w:val="docsum-journal-citation"/>
              </w:rPr>
              <w:t>, 2024)</w:t>
            </w:r>
            <w:r w:rsidRPr="007044ED">
              <w:rPr>
                <w:lang w:val="pl-PL"/>
              </w:rPr>
              <w:t xml:space="preserve">, podsumowująca aktualny stan wiedzy dotyczący zastosowania kabin ekspozycji </w:t>
            </w:r>
            <w:proofErr w:type="spellStart"/>
            <w:r w:rsidRPr="007044ED">
              <w:rPr>
                <w:lang w:val="pl-PL"/>
              </w:rPr>
              <w:t>alergenowej</w:t>
            </w:r>
            <w:proofErr w:type="spellEnd"/>
            <w:r w:rsidRPr="007044ED">
              <w:rPr>
                <w:lang w:val="pl-PL"/>
              </w:rPr>
              <w:t xml:space="preserve"> w diagnostyce i ocenie skuteczności terapii chorób alergicznych. Szczególną uwagę zwrócono na możliwość wykorzystania kabin ekspozycji w badaniach klinicznych oraz potrzebę dalszej standaryzacji metodologii zgodnie z rekomendacjami międzynarodowych towarzystw naukowych.</w:t>
            </w:r>
          </w:p>
          <w:p w14:paraId="06B4D3DC" w14:textId="77777777" w:rsidR="00FB5C47" w:rsidRPr="007044ED" w:rsidRDefault="00FB5C47" w:rsidP="00C41083">
            <w:pPr>
              <w:widowControl/>
              <w:spacing w:line="288" w:lineRule="auto"/>
              <w:ind w:right="28"/>
              <w:jc w:val="both"/>
              <w:rPr>
                <w:rFonts w:cs="Calibri"/>
                <w:lang w:val="pl-PL"/>
              </w:rPr>
            </w:pPr>
          </w:p>
          <w:p w14:paraId="17BDCD1A" w14:textId="64112B7C" w:rsidR="00924FDC" w:rsidRPr="00F549DF" w:rsidRDefault="007D3927" w:rsidP="00C41083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  <w:r w:rsidRPr="00F549DF">
              <w:rPr>
                <w:lang w:val="pl-PL"/>
              </w:rPr>
              <w:t>Opracowanie algorytmu diagnostycznego oraz analiza klinicznej przydatności AEC stanowi</w:t>
            </w:r>
            <w:r w:rsidR="008D059A" w:rsidRPr="00F549DF">
              <w:rPr>
                <w:lang w:val="pl-PL"/>
              </w:rPr>
              <w:t>ą</w:t>
            </w:r>
            <w:r w:rsidRPr="00F549DF">
              <w:rPr>
                <w:lang w:val="pl-PL"/>
              </w:rPr>
              <w:t xml:space="preserve"> integralną część wieloetapowych badań prowadzonych przez dr </w:t>
            </w:r>
            <w:proofErr w:type="spellStart"/>
            <w:r w:rsidRPr="00F549DF">
              <w:rPr>
                <w:lang w:val="pl-PL"/>
              </w:rPr>
              <w:t>Zemelkę</w:t>
            </w:r>
            <w:proofErr w:type="spellEnd"/>
            <w:r w:rsidRPr="00F549DF">
              <w:rPr>
                <w:lang w:val="pl-PL"/>
              </w:rPr>
              <w:t>-Wiącek i współpracujący zespół badawczy. Badania te obejm</w:t>
            </w:r>
            <w:r w:rsidR="008D059A" w:rsidRPr="00F549DF">
              <w:rPr>
                <w:lang w:val="pl-PL"/>
              </w:rPr>
              <w:t xml:space="preserve">ują </w:t>
            </w:r>
            <w:r w:rsidRPr="00F549DF">
              <w:rPr>
                <w:lang w:val="pl-PL"/>
              </w:rPr>
              <w:t xml:space="preserve">zarówno walidację techniczną i kliniczną AEC dla alergenów roztoczy kurzu domowego oraz pyłków traw, jak i ocenę możliwości wykorzystania tej metody w diagnostyce alergii oraz monitorowaniu skuteczności leczenia. </w:t>
            </w:r>
          </w:p>
          <w:p w14:paraId="3C43E602" w14:textId="77777777" w:rsidR="006962EC" w:rsidRPr="00F549DF" w:rsidRDefault="006962EC" w:rsidP="00C41083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</w:p>
          <w:p w14:paraId="723E477C" w14:textId="77777777" w:rsidR="008D059A" w:rsidRDefault="00F549DF" w:rsidP="00C41083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  <w:r w:rsidRPr="00F549DF">
              <w:rPr>
                <w:lang w:val="pl-PL"/>
              </w:rPr>
              <w:t>Uzyskane wyniki mają znaczenie wykraczające poza alergologię, ponieważ tworzą podstawy do standaryzowanej oceny skuteczności innowacyjnych terapii w warunkach kontrolowanej ekspozycji na czynnik wywołujący objawy i mogą wpłynąć na przyszłe standardy prowadzenia badań klinicznych w chorobach alergicznych.</w:t>
            </w:r>
          </w:p>
          <w:p w14:paraId="5BBC90BE" w14:textId="536EDEE8" w:rsidR="003754A4" w:rsidRPr="00F549DF" w:rsidRDefault="003754A4" w:rsidP="00C41083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</w:p>
        </w:tc>
      </w:tr>
      <w:tr w:rsidR="00701821" w:rsidRPr="007044ED" w14:paraId="7A82DA0E" w14:textId="77777777" w:rsidTr="00560959">
        <w:trPr>
          <w:trHeight w:hRule="exact" w:val="336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BF072B" w14:textId="77777777" w:rsidR="00701821" w:rsidRPr="007044ED" w:rsidRDefault="00701821" w:rsidP="005A039A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044ED">
              <w:rPr>
                <w:rFonts w:ascii="Times New Roman"/>
                <w:b/>
                <w:sz w:val="18"/>
                <w:lang w:val="pl-PL"/>
              </w:rPr>
              <w:lastRenderedPageBreak/>
              <w:t>UZASADNIENIE</w:t>
            </w:r>
            <w:r w:rsidRPr="007044ED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</w:tr>
      <w:tr w:rsidR="00701821" w:rsidRPr="007044ED" w14:paraId="1C21E847" w14:textId="77777777" w:rsidTr="00560959">
        <w:trPr>
          <w:trHeight w:val="722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1263" w14:textId="77777777" w:rsidR="003754A4" w:rsidRDefault="003754A4" w:rsidP="003754A4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</w:p>
          <w:p w14:paraId="5B02AB72" w14:textId="1479EF4E" w:rsidR="001A2043" w:rsidRPr="006962EC" w:rsidRDefault="001A2043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  <w:r w:rsidRPr="006962EC">
              <w:rPr>
                <w:lang w:val="pl-PL"/>
              </w:rPr>
              <w:t xml:space="preserve">Przedstawione osiągnięcie stanowi jedno z ważniejszych osiągnięć naukowych ostatnich lat w obszarze diagnostyki chorób alergicznych. Badania prowadzone przez dr </w:t>
            </w:r>
            <w:r>
              <w:rPr>
                <w:lang w:val="pl-PL"/>
              </w:rPr>
              <w:t xml:space="preserve">hab. </w:t>
            </w:r>
            <w:r w:rsidRPr="006962EC">
              <w:rPr>
                <w:lang w:val="pl-PL"/>
              </w:rPr>
              <w:t xml:space="preserve">Magdalenę </w:t>
            </w:r>
            <w:proofErr w:type="spellStart"/>
            <w:r w:rsidRPr="006962EC">
              <w:rPr>
                <w:lang w:val="pl-PL"/>
              </w:rPr>
              <w:t>Zemelkę</w:t>
            </w:r>
            <w:proofErr w:type="spellEnd"/>
            <w:r w:rsidRPr="006962EC">
              <w:rPr>
                <w:lang w:val="pl-PL"/>
              </w:rPr>
              <w:t xml:space="preserve">-Wiącek doprowadziły do stworzenia naukowych podstaw wykorzystania kabin ekspozycji </w:t>
            </w:r>
            <w:proofErr w:type="spellStart"/>
            <w:r w:rsidRPr="006962EC">
              <w:rPr>
                <w:lang w:val="pl-PL"/>
              </w:rPr>
              <w:t>alergenowej</w:t>
            </w:r>
            <w:proofErr w:type="spellEnd"/>
            <w:r w:rsidRPr="006962EC">
              <w:rPr>
                <w:lang w:val="pl-PL"/>
              </w:rPr>
              <w:t xml:space="preserve"> </w:t>
            </w:r>
            <w:r w:rsidRPr="007044ED">
              <w:rPr>
                <w:rFonts w:cs="Calibri"/>
                <w:bCs/>
                <w:lang w:val="pl-PL"/>
              </w:rPr>
              <w:t xml:space="preserve">(AEC) </w:t>
            </w:r>
            <w:r w:rsidRPr="001617EF">
              <w:rPr>
                <w:lang w:val="pl-PL"/>
              </w:rPr>
              <w:t xml:space="preserve">jako nowoczesnego narzędzia diagnostycznego i translacyjnego, które może odegrać istotną rolę w rozwoju przyszłych standardów diagnostyki alergologicznej oraz badań klinicznych nad nowoczesnymi terapiami przeciwalergicznymi. </w:t>
            </w:r>
            <w:r w:rsidRPr="006962EC">
              <w:rPr>
                <w:lang w:val="pl-PL"/>
              </w:rPr>
              <w:t>Połączenie walidacji klinicznej, badań translacyjnych oraz opracowania praktyczn</w:t>
            </w:r>
            <w:r w:rsidR="003754A4">
              <w:rPr>
                <w:lang w:val="pl-PL"/>
              </w:rPr>
              <w:t>ego</w:t>
            </w:r>
            <w:r w:rsidRPr="006962EC">
              <w:rPr>
                <w:lang w:val="pl-PL"/>
              </w:rPr>
              <w:t xml:space="preserve"> algorytm</w:t>
            </w:r>
            <w:r w:rsidR="003754A4">
              <w:rPr>
                <w:lang w:val="pl-PL"/>
              </w:rPr>
              <w:t>u</w:t>
            </w:r>
            <w:r w:rsidRPr="006962EC">
              <w:rPr>
                <w:lang w:val="pl-PL"/>
              </w:rPr>
              <w:t xml:space="preserve"> diagnostyczn</w:t>
            </w:r>
            <w:r w:rsidR="003754A4">
              <w:rPr>
                <w:lang w:val="pl-PL"/>
              </w:rPr>
              <w:t>ego</w:t>
            </w:r>
            <w:r w:rsidRPr="006962EC">
              <w:rPr>
                <w:lang w:val="pl-PL"/>
              </w:rPr>
              <w:t xml:space="preserve"> sprawia, że jest to jedno z pierwszych na świecie tak kompleksowych opracowań dotyczących zastosowania AEC w nowoczesnej alergologii.</w:t>
            </w:r>
          </w:p>
          <w:p w14:paraId="6D798BF8" w14:textId="77777777" w:rsidR="001A2043" w:rsidRDefault="001A2043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</w:p>
          <w:p w14:paraId="1DC59F63" w14:textId="6AB4458B" w:rsidR="00BD53E1" w:rsidRDefault="00BD53E1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  <w:r w:rsidRPr="001436BD">
              <w:rPr>
                <w:rFonts w:cs="Calibri"/>
                <w:bCs/>
                <w:lang w:val="pl-PL"/>
              </w:rPr>
              <w:t xml:space="preserve">Uniwersytet Medyczny we Wrocławiu jest obecnie jedynym ośrodkiem w Polsce prowadzącym walidację i kliniczne wykorzystanie kabin AEC, co nadaje projektowi wyjątkowy charakter w skali kraju oraz Europy Środkowo-Wschodniej. </w:t>
            </w:r>
            <w:r w:rsidR="003754A4" w:rsidRPr="003754A4">
              <w:rPr>
                <w:rFonts w:cs="Calibri"/>
                <w:bCs/>
                <w:lang w:val="pl-PL"/>
              </w:rPr>
              <w:t>Kandydatka prezentowała wyniki badań na licznych prestiżowych kongresach międzynarodowych</w:t>
            </w:r>
            <w:r w:rsidR="004F562B" w:rsidRPr="001436BD">
              <w:rPr>
                <w:rFonts w:cs="Calibri"/>
                <w:bCs/>
                <w:lang w:val="pl-PL"/>
              </w:rPr>
              <w:t xml:space="preserve">, m.in. </w:t>
            </w:r>
            <w:r w:rsidRPr="00AD4FC9">
              <w:rPr>
                <w:rFonts w:cs="Calibri"/>
                <w:bCs/>
              </w:rPr>
              <w:t>European Academy of Allergy and Clinical Immunology (</w:t>
            </w:r>
            <w:r w:rsidR="004F562B" w:rsidRPr="00AD4FC9">
              <w:rPr>
                <w:rFonts w:cs="Calibri"/>
                <w:bCs/>
              </w:rPr>
              <w:t>EAACI</w:t>
            </w:r>
            <w:r w:rsidRPr="00AD4FC9">
              <w:rPr>
                <w:rFonts w:cs="Calibri"/>
                <w:bCs/>
              </w:rPr>
              <w:t>)</w:t>
            </w:r>
            <w:r w:rsidR="004F562B" w:rsidRPr="00AD4FC9">
              <w:rPr>
                <w:rFonts w:cs="Calibri"/>
                <w:bCs/>
              </w:rPr>
              <w:t xml:space="preserve"> Annual Congress, World Immune Regulation Meeting (WIRM), </w:t>
            </w:r>
            <w:r w:rsidR="003754A4" w:rsidRPr="00AD4FC9">
              <w:rPr>
                <w:rFonts w:cs="Calibri"/>
                <w:bCs/>
              </w:rPr>
              <w:t>Future of Allergists and Specific Allergen-Immunotherapy (</w:t>
            </w:r>
            <w:r w:rsidR="004F562B" w:rsidRPr="00AD4FC9">
              <w:rPr>
                <w:rFonts w:cs="Calibri"/>
                <w:bCs/>
              </w:rPr>
              <w:t>FAS</w:t>
            </w:r>
            <w:r w:rsidR="003754A4" w:rsidRPr="00AD4FC9">
              <w:rPr>
                <w:rFonts w:cs="Calibri"/>
                <w:bCs/>
              </w:rPr>
              <w:t>IT)</w:t>
            </w:r>
            <w:r w:rsidR="004F562B" w:rsidRPr="00AD4FC9">
              <w:rPr>
                <w:rFonts w:cs="Calibri"/>
                <w:bCs/>
              </w:rPr>
              <w:t xml:space="preserve"> </w:t>
            </w:r>
            <w:proofErr w:type="spellStart"/>
            <w:r w:rsidR="004F562B" w:rsidRPr="00AD4FC9">
              <w:rPr>
                <w:rFonts w:cs="Calibri"/>
                <w:bCs/>
              </w:rPr>
              <w:t>oraz</w:t>
            </w:r>
            <w:proofErr w:type="spellEnd"/>
            <w:r w:rsidR="004F562B" w:rsidRPr="00AD4FC9">
              <w:rPr>
                <w:rFonts w:cs="Calibri"/>
                <w:bCs/>
              </w:rPr>
              <w:t xml:space="preserve"> </w:t>
            </w:r>
            <w:r w:rsidR="001436BD" w:rsidRPr="00AD4FC9">
              <w:rPr>
                <w:rFonts w:cs="Calibri"/>
                <w:bCs/>
              </w:rPr>
              <w:t>Central &amp; Southern European Allergy and Asthma Alliance (CSEA</w:t>
            </w:r>
            <w:r w:rsidR="001436BD" w:rsidRPr="00AD4FC9">
              <w:rPr>
                <w:rFonts w:cs="Calibri"/>
                <w:bCs/>
                <w:vertAlign w:val="superscript"/>
              </w:rPr>
              <w:t>3</w:t>
            </w:r>
            <w:r w:rsidR="001436BD" w:rsidRPr="00AD4FC9">
              <w:rPr>
                <w:rFonts w:cs="Calibri"/>
                <w:bCs/>
              </w:rPr>
              <w:t>) Annual Congress</w:t>
            </w:r>
            <w:r w:rsidR="004F562B" w:rsidRPr="00AD4FC9">
              <w:rPr>
                <w:rFonts w:cs="Calibri"/>
                <w:bCs/>
              </w:rPr>
              <w:t xml:space="preserve">, </w:t>
            </w:r>
            <w:r w:rsidR="004F562B" w:rsidRPr="001436BD">
              <w:rPr>
                <w:rFonts w:cs="Calibri"/>
                <w:bCs/>
                <w:lang w:val="pl-PL"/>
              </w:rPr>
              <w:t>spotykając się z dużym zainteresowaniem środowiska naukowego.</w:t>
            </w:r>
          </w:p>
          <w:p w14:paraId="7C68158A" w14:textId="77777777" w:rsidR="003754A4" w:rsidRPr="001436BD" w:rsidRDefault="003754A4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Cs/>
                <w:lang w:val="pl-PL"/>
              </w:rPr>
            </w:pPr>
          </w:p>
          <w:p w14:paraId="6C887DBE" w14:textId="2C83AD8A" w:rsidR="00BD53E1" w:rsidRDefault="00BD53E1" w:rsidP="003754A4">
            <w:pPr>
              <w:pStyle w:val="isselectedend"/>
              <w:spacing w:before="0" w:beforeAutospacing="0" w:after="0" w:afterAutospacing="0"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Międzynarodowe znaczenie badań potwierdza również zaproszenie kandydatki do prezentacji wyników w Paul-Ehrlich-</w:t>
            </w:r>
            <w:proofErr w:type="spellStart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Institut</w:t>
            </w:r>
            <w:proofErr w:type="spellEnd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(PEI) – jednej z najważniejszych europejskich instytucji odpowiedzialnych za ocenę szczepionek i produktów biologicznych oraz kluczowego partnera European </w:t>
            </w:r>
            <w:proofErr w:type="spellStart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Medicines</w:t>
            </w:r>
            <w:proofErr w:type="spellEnd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Agency</w:t>
            </w:r>
            <w:proofErr w:type="spellEnd"/>
            <w:r w:rsidRPr="001436B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(EMA). Zaproszenie to stanowi wyraz uznania dla jakości naukowej prowadzonych badań oraz ich potencjalnego znaczenia dla rozwoju przyszłych badań klinicznych i nowoczesnej alergologii.</w:t>
            </w:r>
          </w:p>
          <w:p w14:paraId="794069E3" w14:textId="77777777" w:rsidR="003754A4" w:rsidRPr="001436BD" w:rsidRDefault="003754A4" w:rsidP="003754A4">
            <w:pPr>
              <w:pStyle w:val="isselectedend"/>
              <w:spacing w:before="0" w:beforeAutospacing="0" w:after="0" w:afterAutospacing="0"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351CA18" w14:textId="46DA7468" w:rsidR="00FB5C47" w:rsidRPr="001436BD" w:rsidRDefault="00FB5C47" w:rsidP="003754A4">
            <w:pPr>
              <w:spacing w:line="288" w:lineRule="auto"/>
              <w:jc w:val="both"/>
              <w:rPr>
                <w:rFonts w:cs="Calibri"/>
                <w:lang w:val="pl-PL"/>
              </w:rPr>
            </w:pPr>
            <w:r w:rsidRPr="001436BD">
              <w:rPr>
                <w:rFonts w:cs="Calibri"/>
                <w:lang w:val="pl-PL"/>
              </w:rPr>
              <w:t xml:space="preserve">Należy podkreślić, że dzięki kompleksowej walidacji — zarówno technicznej, jak i klinicznej — obejmującej porównania z innymi metodami prowokacyjnymi (np. donosowymi), jak również z oceną objawów podczas naturalnej ekspozycji (np. w sezonie pylenia), AEC mogą być z powodzeniem stosowane także w badaniach III fazy. Tego typu zastosowanie pozwala uzyskać wysokiej jakości dane w ściśle kontrolowanych warunkach, co zwiększa szanse na akceptację wyników przez instytucje regulacyjne (np. Europejska Agencja Leków - EMA) i może stanowić realny przełom w procesie rejestracji nowoczesnych terapii. </w:t>
            </w:r>
            <w:r w:rsidR="007B068B" w:rsidRPr="007B068B">
              <w:rPr>
                <w:rFonts w:cs="Calibri"/>
                <w:lang w:val="pl-PL"/>
              </w:rPr>
              <w:t xml:space="preserve">Znaczenie uzyskanych wyników potwierdza również fakt, że stały się one podstawą realizowanego obecnie przez zespół badawczy, </w:t>
            </w:r>
            <w:r w:rsidR="005379A5">
              <w:rPr>
                <w:rFonts w:cs="Calibri"/>
                <w:lang w:val="pl-PL"/>
              </w:rPr>
              <w:t>z aktywnym</w:t>
            </w:r>
            <w:r w:rsidR="007B068B" w:rsidRPr="007B068B">
              <w:rPr>
                <w:rFonts w:cs="Calibri"/>
                <w:lang w:val="pl-PL"/>
              </w:rPr>
              <w:t xml:space="preserve"> udzia</w:t>
            </w:r>
            <w:r w:rsidR="005379A5">
              <w:rPr>
                <w:rFonts w:cs="Calibri"/>
                <w:lang w:val="pl-PL"/>
              </w:rPr>
              <w:t>łem</w:t>
            </w:r>
            <w:r w:rsidR="007B068B" w:rsidRPr="007B068B">
              <w:rPr>
                <w:rFonts w:cs="Calibri"/>
                <w:lang w:val="pl-PL"/>
              </w:rPr>
              <w:t xml:space="preserve"> kandydatki, randomizowanego, podwójnie zaślepionego badania klinicznego kontrolowanego placebo RANSES (ClinicalTrials.gov</w:t>
            </w:r>
            <w:r w:rsidR="007B068B">
              <w:rPr>
                <w:rFonts w:cs="Calibri"/>
                <w:lang w:val="pl-PL"/>
              </w:rPr>
              <w:t xml:space="preserve"> </w:t>
            </w:r>
            <w:r w:rsidR="007B068B" w:rsidRPr="007B068B">
              <w:rPr>
                <w:rFonts w:cs="Calibri"/>
                <w:lang w:val="pl-PL"/>
              </w:rPr>
              <w:t xml:space="preserve">NCT06778213), oceniającego skuteczność immunoterapii </w:t>
            </w:r>
            <w:proofErr w:type="spellStart"/>
            <w:r w:rsidR="007B068B" w:rsidRPr="007B068B">
              <w:rPr>
                <w:rFonts w:cs="Calibri"/>
                <w:lang w:val="pl-PL"/>
              </w:rPr>
              <w:t>alergenowej</w:t>
            </w:r>
            <w:proofErr w:type="spellEnd"/>
            <w:r w:rsidR="007B068B" w:rsidRPr="007B068B">
              <w:rPr>
                <w:rFonts w:cs="Calibri"/>
                <w:lang w:val="pl-PL"/>
              </w:rPr>
              <w:t xml:space="preserve"> z wykorzystaniem kabiny ekspozycji </w:t>
            </w:r>
            <w:proofErr w:type="spellStart"/>
            <w:r w:rsidR="007B068B" w:rsidRPr="007B068B">
              <w:rPr>
                <w:rFonts w:cs="Calibri"/>
                <w:lang w:val="pl-PL"/>
              </w:rPr>
              <w:t>alergenowej</w:t>
            </w:r>
            <w:proofErr w:type="spellEnd"/>
            <w:r w:rsidR="007B068B" w:rsidRPr="007B068B">
              <w:rPr>
                <w:rFonts w:cs="Calibri"/>
                <w:lang w:val="pl-PL"/>
              </w:rPr>
              <w:t xml:space="preserve"> jako narzędzia oceny odpowiedzi klinicznej.</w:t>
            </w:r>
          </w:p>
          <w:p w14:paraId="4E920835" w14:textId="77777777" w:rsidR="00FB5C47" w:rsidRPr="001436BD" w:rsidRDefault="00FB5C47" w:rsidP="003754A4">
            <w:pPr>
              <w:spacing w:line="288" w:lineRule="auto"/>
              <w:jc w:val="both"/>
              <w:rPr>
                <w:rFonts w:cs="Calibri"/>
                <w:lang w:val="pl-PL"/>
              </w:rPr>
            </w:pPr>
          </w:p>
          <w:p w14:paraId="7BFCA951" w14:textId="34A233FA" w:rsidR="00FB5C47" w:rsidRDefault="00FB5C47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lang w:val="pl-PL"/>
              </w:rPr>
            </w:pPr>
            <w:r w:rsidRPr="001436BD">
              <w:rPr>
                <w:rFonts w:cs="Calibri"/>
                <w:lang w:val="pl-PL"/>
              </w:rPr>
              <w:t xml:space="preserve">Dwie spośród trzech publikacji przedstawionych we wniosku o przyznanie nagrody zostały opublikowane w czasopiśmie </w:t>
            </w:r>
            <w:proofErr w:type="spellStart"/>
            <w:r w:rsidRPr="001436BD">
              <w:rPr>
                <w:rFonts w:cs="Calibri"/>
                <w:i/>
                <w:iCs/>
                <w:lang w:val="pl-PL"/>
              </w:rPr>
              <w:t>Allergy</w:t>
            </w:r>
            <w:proofErr w:type="spellEnd"/>
            <w:r w:rsidRPr="001436BD">
              <w:rPr>
                <w:rFonts w:cs="Calibri"/>
                <w:lang w:val="pl-PL"/>
              </w:rPr>
              <w:t xml:space="preserve"> – oficjalnym czasopiśmie European </w:t>
            </w:r>
            <w:proofErr w:type="spellStart"/>
            <w:r w:rsidRPr="001436BD">
              <w:rPr>
                <w:rFonts w:cs="Calibri"/>
                <w:lang w:val="pl-PL"/>
              </w:rPr>
              <w:t>Academy</w:t>
            </w:r>
            <w:proofErr w:type="spellEnd"/>
            <w:r w:rsidRPr="001436BD">
              <w:rPr>
                <w:rFonts w:cs="Calibri"/>
                <w:lang w:val="pl-PL"/>
              </w:rPr>
              <w:t xml:space="preserve"> of </w:t>
            </w:r>
            <w:proofErr w:type="spellStart"/>
            <w:r w:rsidRPr="001436BD">
              <w:rPr>
                <w:rFonts w:cs="Calibri"/>
                <w:lang w:val="pl-PL"/>
              </w:rPr>
              <w:t>Allergy</w:t>
            </w:r>
            <w:proofErr w:type="spellEnd"/>
            <w:r w:rsidRPr="001436BD">
              <w:rPr>
                <w:rFonts w:cs="Calibri"/>
                <w:lang w:val="pl-PL"/>
              </w:rPr>
              <w:t xml:space="preserve"> and </w:t>
            </w:r>
            <w:proofErr w:type="spellStart"/>
            <w:r w:rsidRPr="001436BD">
              <w:rPr>
                <w:rFonts w:cs="Calibri"/>
                <w:lang w:val="pl-PL"/>
              </w:rPr>
              <w:t>Clinical</w:t>
            </w:r>
            <w:proofErr w:type="spellEnd"/>
            <w:r w:rsidRPr="001436BD">
              <w:rPr>
                <w:rFonts w:cs="Calibri"/>
                <w:lang w:val="pl-PL"/>
              </w:rPr>
              <w:t xml:space="preserve"> </w:t>
            </w:r>
            <w:proofErr w:type="spellStart"/>
            <w:r w:rsidRPr="001436BD">
              <w:rPr>
                <w:rFonts w:cs="Calibri"/>
                <w:lang w:val="pl-PL"/>
              </w:rPr>
              <w:t>Immunology</w:t>
            </w:r>
            <w:proofErr w:type="spellEnd"/>
            <w:r w:rsidRPr="001436BD">
              <w:rPr>
                <w:rFonts w:cs="Calibri"/>
                <w:lang w:val="pl-PL"/>
              </w:rPr>
              <w:t xml:space="preserve"> (EAACI), które zgodnie z </w:t>
            </w:r>
            <w:proofErr w:type="spellStart"/>
            <w:r w:rsidRPr="001436BD">
              <w:rPr>
                <w:rFonts w:cs="Calibri"/>
                <w:lang w:val="pl-PL"/>
              </w:rPr>
              <w:t>Journal</w:t>
            </w:r>
            <w:proofErr w:type="spellEnd"/>
            <w:r w:rsidRPr="001436BD">
              <w:rPr>
                <w:rFonts w:cs="Calibri"/>
                <w:lang w:val="pl-PL"/>
              </w:rPr>
              <w:t xml:space="preserve"> </w:t>
            </w:r>
            <w:proofErr w:type="spellStart"/>
            <w:r w:rsidRPr="001436BD">
              <w:rPr>
                <w:rFonts w:cs="Calibri"/>
                <w:lang w:val="pl-PL"/>
              </w:rPr>
              <w:t>Citation</w:t>
            </w:r>
            <w:proofErr w:type="spellEnd"/>
            <w:r w:rsidRPr="001436BD">
              <w:rPr>
                <w:rFonts w:cs="Calibri"/>
                <w:lang w:val="pl-PL"/>
              </w:rPr>
              <w:t xml:space="preserve"> </w:t>
            </w:r>
            <w:proofErr w:type="spellStart"/>
            <w:r w:rsidRPr="001436BD">
              <w:rPr>
                <w:rFonts w:cs="Calibri"/>
                <w:lang w:val="pl-PL"/>
              </w:rPr>
              <w:t>Reports</w:t>
            </w:r>
            <w:proofErr w:type="spellEnd"/>
            <w:r w:rsidRPr="001436BD">
              <w:rPr>
                <w:rFonts w:cs="Calibri"/>
                <w:lang w:val="pl-PL"/>
              </w:rPr>
              <w:t xml:space="preserve"> zajmuje 1. miejsce w kategorii „</w:t>
            </w:r>
            <w:proofErr w:type="spellStart"/>
            <w:r w:rsidRPr="001436BD">
              <w:rPr>
                <w:rFonts w:cs="Calibri"/>
                <w:lang w:val="pl-PL"/>
              </w:rPr>
              <w:t>Allergy</w:t>
            </w:r>
            <w:proofErr w:type="spellEnd"/>
            <w:r w:rsidRPr="001436BD">
              <w:rPr>
                <w:rFonts w:cs="Calibri"/>
                <w:lang w:val="pl-PL"/>
              </w:rPr>
              <w:t>” i posiada Impact Factor 12. Podkreśla to wysoką jakość naukową osiągnięcia oraz jego znaczenie dla międzynarodowego środowiska alergologicznego.</w:t>
            </w:r>
            <w:r w:rsidR="000F09E6" w:rsidRPr="001436BD">
              <w:rPr>
                <w:rFonts w:cs="Calibri"/>
                <w:lang w:val="pl-PL"/>
              </w:rPr>
              <w:t xml:space="preserve"> </w:t>
            </w:r>
            <w:r w:rsidR="007B068B">
              <w:rPr>
                <w:rFonts w:cs="Calibri"/>
                <w:lang w:val="pl-PL"/>
              </w:rPr>
              <w:t>Kandydatka</w:t>
            </w:r>
            <w:r w:rsidR="00A6736A">
              <w:rPr>
                <w:rFonts w:cs="Calibri"/>
                <w:lang w:val="pl-PL"/>
              </w:rPr>
              <w:t xml:space="preserve"> j</w:t>
            </w:r>
            <w:r w:rsidR="007B068B">
              <w:rPr>
                <w:rFonts w:cs="Calibri"/>
                <w:lang w:val="pl-PL"/>
              </w:rPr>
              <w:t>e</w:t>
            </w:r>
            <w:r w:rsidR="00A6736A">
              <w:rPr>
                <w:rFonts w:cs="Calibri"/>
                <w:lang w:val="pl-PL"/>
              </w:rPr>
              <w:t>st pierwszym autorem wszystkich prac zgłoszonych do nagrody.</w:t>
            </w:r>
            <w:r w:rsidR="005379A5">
              <w:rPr>
                <w:rFonts w:cs="Calibri"/>
                <w:lang w:val="pl-PL"/>
              </w:rPr>
              <w:t xml:space="preserve"> </w:t>
            </w:r>
            <w:r w:rsidR="005379A5" w:rsidRPr="005379A5">
              <w:rPr>
                <w:rFonts w:cs="Calibri"/>
                <w:lang w:val="pl-PL"/>
              </w:rPr>
              <w:t>Prace te tworzą spójny cykl badawczy obejmujący walidację AEC, ocenę ich przydatności klinicznej oraz opracowanie algorytmu diagnostycznego dla pacjentów z chorobami alergicznymi.</w:t>
            </w:r>
          </w:p>
          <w:p w14:paraId="1CE40D28" w14:textId="77777777" w:rsidR="008D059A" w:rsidRDefault="008D059A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lang w:val="pl-PL"/>
              </w:rPr>
            </w:pPr>
          </w:p>
          <w:p w14:paraId="29F5AA0B" w14:textId="09FBCC95" w:rsidR="00D8668B" w:rsidRPr="00BB3965" w:rsidRDefault="00891691" w:rsidP="003754A4">
            <w:pPr>
              <w:widowControl/>
              <w:spacing w:line="288" w:lineRule="auto"/>
              <w:ind w:left="28" w:right="28"/>
              <w:jc w:val="both"/>
              <w:rPr>
                <w:lang w:val="pl-PL"/>
              </w:rPr>
            </w:pPr>
            <w:r w:rsidRPr="00BB3965">
              <w:rPr>
                <w:lang w:val="pl-PL"/>
              </w:rPr>
              <w:t xml:space="preserve">Kandydatka jest współautorką publikacji w renomowanych czasopismach międzynarodowych, m.in. </w:t>
            </w:r>
            <w:proofErr w:type="spellStart"/>
            <w:r w:rsidRPr="00BB3965">
              <w:rPr>
                <w:rStyle w:val="Uwydatnienie"/>
                <w:lang w:val="pl-PL"/>
              </w:rPr>
              <w:t>Allergy</w:t>
            </w:r>
            <w:proofErr w:type="spellEnd"/>
            <w:r w:rsidRPr="00BB3965">
              <w:rPr>
                <w:lang w:val="pl-PL"/>
              </w:rPr>
              <w:t xml:space="preserve">, </w:t>
            </w:r>
            <w:proofErr w:type="spellStart"/>
            <w:r w:rsidRPr="00BB3965">
              <w:rPr>
                <w:rStyle w:val="Uwydatnienie"/>
                <w:lang w:val="pl-PL"/>
              </w:rPr>
              <w:t>Clinical</w:t>
            </w:r>
            <w:proofErr w:type="spellEnd"/>
            <w:r w:rsidRPr="00BB3965">
              <w:rPr>
                <w:rStyle w:val="Uwydatnienie"/>
                <w:lang w:val="pl-PL"/>
              </w:rPr>
              <w:t xml:space="preserve"> and </w:t>
            </w:r>
            <w:proofErr w:type="spellStart"/>
            <w:r w:rsidRPr="00BB3965">
              <w:rPr>
                <w:rStyle w:val="Uwydatnienie"/>
                <w:lang w:val="pl-PL"/>
              </w:rPr>
              <w:t>Experimental</w:t>
            </w:r>
            <w:proofErr w:type="spellEnd"/>
            <w:r w:rsidRPr="00BB3965">
              <w:rPr>
                <w:rStyle w:val="Uwydatnienie"/>
                <w:lang w:val="pl-PL"/>
              </w:rPr>
              <w:t xml:space="preserve"> </w:t>
            </w:r>
            <w:proofErr w:type="spellStart"/>
            <w:r w:rsidRPr="00BB3965">
              <w:rPr>
                <w:rStyle w:val="Uwydatnienie"/>
                <w:lang w:val="pl-PL"/>
              </w:rPr>
              <w:t>Allergy</w:t>
            </w:r>
            <w:proofErr w:type="spellEnd"/>
            <w:r w:rsidRPr="00BB3965">
              <w:rPr>
                <w:lang w:val="pl-PL"/>
              </w:rPr>
              <w:t xml:space="preserve"> oraz </w:t>
            </w:r>
            <w:proofErr w:type="spellStart"/>
            <w:r w:rsidRPr="00BB3965">
              <w:rPr>
                <w:rStyle w:val="Uwydatnienie"/>
                <w:lang w:val="pl-PL"/>
              </w:rPr>
              <w:t>Journal</w:t>
            </w:r>
            <w:proofErr w:type="spellEnd"/>
            <w:r w:rsidRPr="00BB3965">
              <w:rPr>
                <w:rStyle w:val="Uwydatnienie"/>
                <w:lang w:val="pl-PL"/>
              </w:rPr>
              <w:t xml:space="preserve"> of </w:t>
            </w:r>
            <w:proofErr w:type="spellStart"/>
            <w:r w:rsidRPr="00BB3965">
              <w:rPr>
                <w:rStyle w:val="Uwydatnienie"/>
                <w:lang w:val="pl-PL"/>
              </w:rPr>
              <w:t>Allergy</w:t>
            </w:r>
            <w:proofErr w:type="spellEnd"/>
            <w:r w:rsidRPr="00BB3965">
              <w:rPr>
                <w:rStyle w:val="Uwydatnienie"/>
                <w:lang w:val="pl-PL"/>
              </w:rPr>
              <w:t xml:space="preserve"> and </w:t>
            </w:r>
            <w:proofErr w:type="spellStart"/>
            <w:r w:rsidRPr="00BB3965">
              <w:rPr>
                <w:rStyle w:val="Uwydatnienie"/>
                <w:lang w:val="pl-PL"/>
              </w:rPr>
              <w:t>Clinical</w:t>
            </w:r>
            <w:proofErr w:type="spellEnd"/>
            <w:r w:rsidRPr="00BB3965">
              <w:rPr>
                <w:rStyle w:val="Uwydatnienie"/>
                <w:lang w:val="pl-PL"/>
              </w:rPr>
              <w:t xml:space="preserve"> </w:t>
            </w:r>
            <w:proofErr w:type="spellStart"/>
            <w:r w:rsidRPr="00BB3965">
              <w:rPr>
                <w:rStyle w:val="Uwydatnienie"/>
                <w:lang w:val="pl-PL"/>
              </w:rPr>
              <w:t>Immunology</w:t>
            </w:r>
            <w:proofErr w:type="spellEnd"/>
            <w:r w:rsidRPr="00BB3965">
              <w:rPr>
                <w:lang w:val="pl-PL"/>
              </w:rPr>
              <w:t xml:space="preserve">. Łączny Impact Factor publikacji kandydatki przekracza 300, a indeks Hirscha według Web of Science </w:t>
            </w:r>
            <w:proofErr w:type="spellStart"/>
            <w:r w:rsidRPr="00BB3965">
              <w:rPr>
                <w:lang w:val="pl-PL"/>
              </w:rPr>
              <w:t>Core</w:t>
            </w:r>
            <w:proofErr w:type="spellEnd"/>
            <w:r w:rsidRPr="00BB3965">
              <w:rPr>
                <w:lang w:val="pl-PL"/>
              </w:rPr>
              <w:t xml:space="preserve"> Collection wynosi 18. W 2025 roku otrzymała Stypendium Ministra Nauki i Szkolnictwa Wyższego dla Wybitnych Młodych Naukowców.</w:t>
            </w:r>
          </w:p>
          <w:p w14:paraId="380D7DBE" w14:textId="77777777" w:rsidR="00891691" w:rsidRPr="00826A0B" w:rsidRDefault="00891691" w:rsidP="003754A4">
            <w:pPr>
              <w:widowControl/>
              <w:spacing w:line="288" w:lineRule="auto"/>
              <w:ind w:left="28" w:right="28"/>
              <w:jc w:val="both"/>
              <w:rPr>
                <w:rFonts w:cs="Calibri"/>
                <w:b/>
                <w:lang w:val="pl-PL"/>
              </w:rPr>
            </w:pPr>
          </w:p>
          <w:p w14:paraId="6F1BD3AB" w14:textId="13F70418" w:rsidR="006A1B9F" w:rsidRDefault="006A1B9F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36BD">
              <w:rPr>
                <w:rFonts w:ascii="Calibri" w:hAnsi="Calibri" w:cs="Calibri"/>
                <w:sz w:val="22"/>
                <w:szCs w:val="22"/>
              </w:rPr>
              <w:t xml:space="preserve">Osiągnięcie naukowe dr hab. n. med. Magdaleny </w:t>
            </w:r>
            <w:proofErr w:type="spellStart"/>
            <w:r w:rsidRPr="001436BD">
              <w:rPr>
                <w:rFonts w:ascii="Calibri" w:hAnsi="Calibri" w:cs="Calibri"/>
                <w:sz w:val="22"/>
                <w:szCs w:val="22"/>
              </w:rPr>
              <w:t>Zemelki</w:t>
            </w:r>
            <w:proofErr w:type="spellEnd"/>
            <w:r w:rsidRPr="001436BD">
              <w:rPr>
                <w:rFonts w:ascii="Calibri" w:hAnsi="Calibri" w:cs="Calibri"/>
                <w:sz w:val="22"/>
                <w:szCs w:val="22"/>
              </w:rPr>
              <w:t xml:space="preserve">-Wiącek należy uznać za jedno z ważniejszych osiągnięć współczesnej alergologii ostatnich lat. Przedstawione badania nie tylko wypełniają istotną lukę naukową w zakresie walidacji i zastosowania kabin AEC, ale również wyznaczają nowy kierunek rozwoju diagnostyki oraz badań klinicznych w alergologii. Ich znaczenie wykracza daleko poza dotychczasowe zastosowania tej technologii, </w:t>
            </w:r>
            <w:r w:rsidR="005379A5" w:rsidRPr="005379A5">
              <w:rPr>
                <w:rFonts w:ascii="Calibri" w:hAnsi="Calibri" w:cs="Calibri"/>
                <w:sz w:val="22"/>
                <w:szCs w:val="22"/>
              </w:rPr>
              <w:t>tworząc podstawy do dalszego rozwoju badań nad innowacyjnymi metodami leczenia chorób alergicznych.</w:t>
            </w:r>
          </w:p>
          <w:p w14:paraId="60BB1840" w14:textId="77777777" w:rsidR="00D8668B" w:rsidRPr="001436BD" w:rsidRDefault="00D8668B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9E66D9" w14:textId="77777777" w:rsidR="001436BD" w:rsidRDefault="001436BD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36BD">
              <w:rPr>
                <w:rFonts w:ascii="Calibri" w:hAnsi="Calibri" w:cs="Calibri"/>
                <w:sz w:val="22"/>
                <w:szCs w:val="22"/>
              </w:rPr>
              <w:t xml:space="preserve">Szczególnie istotny jest potencjał wykorzystania </w:t>
            </w:r>
            <w:proofErr w:type="spellStart"/>
            <w:r w:rsidRPr="001436BD">
              <w:rPr>
                <w:rFonts w:ascii="Calibri" w:hAnsi="Calibri" w:cs="Calibri"/>
                <w:sz w:val="22"/>
                <w:szCs w:val="22"/>
              </w:rPr>
              <w:t>zwalidowanych</w:t>
            </w:r>
            <w:proofErr w:type="spellEnd"/>
            <w:r w:rsidRPr="001436BD">
              <w:rPr>
                <w:rFonts w:ascii="Calibri" w:hAnsi="Calibri" w:cs="Calibri"/>
                <w:sz w:val="22"/>
                <w:szCs w:val="22"/>
              </w:rPr>
              <w:t xml:space="preserve"> kabin AEC w badaniach nad immunoterapią </w:t>
            </w:r>
            <w:proofErr w:type="spellStart"/>
            <w:r w:rsidRPr="001436BD">
              <w:rPr>
                <w:rFonts w:ascii="Calibri" w:hAnsi="Calibri" w:cs="Calibri"/>
                <w:sz w:val="22"/>
                <w:szCs w:val="22"/>
              </w:rPr>
              <w:t>alergenową</w:t>
            </w:r>
            <w:proofErr w:type="spellEnd"/>
            <w:r w:rsidRPr="001436BD">
              <w:rPr>
                <w:rFonts w:ascii="Calibri" w:hAnsi="Calibri" w:cs="Calibri"/>
                <w:sz w:val="22"/>
                <w:szCs w:val="22"/>
              </w:rPr>
              <w:t xml:space="preserve"> oraz terapiami biologicznymi, gdzie mogą one dostarczać wysokiej jakości danych uzyskiwanych w warunkach standaryzowanej i kontrolowanej ekspozycji na alergeny.</w:t>
            </w:r>
          </w:p>
          <w:p w14:paraId="468EFB81" w14:textId="77777777" w:rsidR="00D8668B" w:rsidRDefault="00D8668B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045383" w14:textId="53CF5FE3" w:rsidR="006A1B9F" w:rsidRDefault="006A1B9F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36BD">
              <w:rPr>
                <w:rFonts w:ascii="Calibri" w:hAnsi="Calibri" w:cs="Calibri"/>
                <w:sz w:val="22"/>
                <w:szCs w:val="22"/>
              </w:rPr>
              <w:t xml:space="preserve">Przełomowy charakter osiągnięcia polega również na otwarciu nowych perspektyw dla medycyny precyzyjnej i translacyjnej. Opracowane rozwiązania mogą stać się fundamentem przyszłych międzynarodowych programów badawczych, służących identyfikacji </w:t>
            </w:r>
            <w:proofErr w:type="spellStart"/>
            <w:r w:rsidRPr="001436BD">
              <w:rPr>
                <w:rFonts w:ascii="Calibri" w:hAnsi="Calibri" w:cs="Calibri"/>
                <w:sz w:val="22"/>
                <w:szCs w:val="22"/>
              </w:rPr>
              <w:t>biomarkerów</w:t>
            </w:r>
            <w:proofErr w:type="spellEnd"/>
            <w:r w:rsidRPr="001436BD">
              <w:rPr>
                <w:rFonts w:ascii="Calibri" w:hAnsi="Calibri" w:cs="Calibri"/>
                <w:sz w:val="22"/>
                <w:szCs w:val="22"/>
              </w:rPr>
              <w:t xml:space="preserve"> odpowiedzi na leczenie, personalizacji terapii oraz optymalizacji kwalifikacji pacjentów do nowoczesnych metod terapeutycznych. W dłuższej perspektywie wyniki tych badań mogą przyczynić się do stworzenia nowych standardów diagnostycznych i terapeutycznych obowiązujących w alergologii na poziomie europejskim i światowym.</w:t>
            </w:r>
          </w:p>
          <w:p w14:paraId="7841486C" w14:textId="77777777" w:rsidR="00D8668B" w:rsidRPr="001436BD" w:rsidRDefault="00D8668B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BF63CC" w14:textId="5E788A67" w:rsidR="00BD53E1" w:rsidRDefault="006A1B9F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36BD">
              <w:rPr>
                <w:rFonts w:ascii="Calibri" w:hAnsi="Calibri" w:cs="Calibri"/>
                <w:sz w:val="22"/>
                <w:szCs w:val="22"/>
              </w:rPr>
              <w:t xml:space="preserve">Biorąc pod uwagę skalę innowacyjności, wysoką wartość naukową, potencjał wdrożeniowy oraz znaczenie dla rozwoju badań klinicznych nad nowoczesnymi terapiami przeciwalergicznymi, osiągnięcie dr </w:t>
            </w:r>
            <w:r w:rsidR="00A6736A">
              <w:rPr>
                <w:rFonts w:ascii="Calibri" w:hAnsi="Calibri" w:cs="Calibri"/>
                <w:sz w:val="22"/>
                <w:szCs w:val="22"/>
              </w:rPr>
              <w:t xml:space="preserve">hab. </w:t>
            </w:r>
            <w:proofErr w:type="spellStart"/>
            <w:r w:rsidRPr="001436BD">
              <w:rPr>
                <w:rFonts w:ascii="Calibri" w:hAnsi="Calibri" w:cs="Calibri"/>
                <w:sz w:val="22"/>
                <w:szCs w:val="22"/>
              </w:rPr>
              <w:t>Zemelki</w:t>
            </w:r>
            <w:proofErr w:type="spellEnd"/>
            <w:r w:rsidRPr="001436BD">
              <w:rPr>
                <w:rFonts w:ascii="Calibri" w:hAnsi="Calibri" w:cs="Calibri"/>
                <w:sz w:val="22"/>
                <w:szCs w:val="22"/>
              </w:rPr>
              <w:t xml:space="preserve">-Wiącek należy uznać za kamień milowy w rozwoju współczesnej alergologii. </w:t>
            </w:r>
            <w:r w:rsidR="001436BD" w:rsidRPr="001436BD">
              <w:rPr>
                <w:rFonts w:ascii="Calibri" w:hAnsi="Calibri" w:cs="Calibri"/>
                <w:sz w:val="22"/>
                <w:szCs w:val="22"/>
              </w:rPr>
              <w:t>Przedstawione wyniki mają potencjał do wyznaczenia nowych kierunków rozwoju badań klinicznych oraz praktyki diagnostyczno-terapeutycznej w alergologii na poziomie międzynarodowym.</w:t>
            </w:r>
          </w:p>
          <w:p w14:paraId="4C141325" w14:textId="77777777" w:rsidR="001436BD" w:rsidRDefault="001436BD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5CD77F" w14:textId="77777777" w:rsidR="000B5C78" w:rsidRDefault="000B5C78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904BB2" w14:textId="77777777" w:rsidR="000B5C78" w:rsidRDefault="000B5C78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F7CA45" w14:textId="77777777" w:rsidR="000B5C78" w:rsidRDefault="000B5C78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F43856" w14:textId="1935AC9E" w:rsidR="000B5C78" w:rsidRPr="001436BD" w:rsidRDefault="000B5C78" w:rsidP="003754A4">
            <w:pPr>
              <w:pStyle w:val="NormalnyWeb"/>
              <w:spacing w:before="0" w:beforeAutospacing="0" w:after="0" w:afterAutospacing="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821" w:rsidRPr="007044ED" w14:paraId="215740BF" w14:textId="77777777" w:rsidTr="00560959">
        <w:trPr>
          <w:trHeight w:hRule="exact" w:val="374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D8A5A3" w14:textId="77777777" w:rsidR="00701821" w:rsidRPr="007044ED" w:rsidRDefault="00701821" w:rsidP="005A039A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DOKUMENTY SKŁADANE WRAZ Z WNIOSKIEM</w:t>
            </w:r>
          </w:p>
        </w:tc>
      </w:tr>
      <w:tr w:rsidR="00701821" w:rsidRPr="007044ED" w14:paraId="49B84AEE" w14:textId="77777777" w:rsidTr="00560959">
        <w:trPr>
          <w:trHeight w:val="684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BF594" w14:textId="29B7B540" w:rsidR="00F6109A" w:rsidRPr="003754A4" w:rsidRDefault="00924FDC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rPr>
                <w:rFonts w:cs="Calibri"/>
                <w:b/>
              </w:rPr>
              <w:t>Publikacja</w:t>
            </w:r>
            <w:proofErr w:type="spellEnd"/>
            <w:r w:rsidR="006962EC" w:rsidRPr="003754A4">
              <w:rPr>
                <w:rFonts w:cs="Calibri"/>
                <w:b/>
              </w:rPr>
              <w:t xml:space="preserve"> </w:t>
            </w:r>
            <w:r w:rsidR="007D3800">
              <w:rPr>
                <w:rFonts w:cs="Calibri"/>
                <w:b/>
              </w:rPr>
              <w:t xml:space="preserve">1 </w:t>
            </w:r>
            <w:r w:rsidR="006962EC" w:rsidRPr="003754A4">
              <w:rPr>
                <w:rFonts w:cs="Calibri"/>
                <w:b/>
              </w:rPr>
              <w:t xml:space="preserve">- </w:t>
            </w:r>
            <w:proofErr w:type="spellStart"/>
            <w:r w:rsidR="006962EC" w:rsidRPr="003754A4">
              <w:rPr>
                <w:rFonts w:cs="Calibri"/>
                <w:b/>
              </w:rPr>
              <w:t>osiągnięcie</w:t>
            </w:r>
            <w:proofErr w:type="spellEnd"/>
            <w:r w:rsidRPr="003754A4">
              <w:rPr>
                <w:rFonts w:cs="Calibri"/>
                <w:b/>
              </w:rPr>
              <w:t xml:space="preserve">: </w:t>
            </w:r>
            <w:r w:rsidR="00F6109A" w:rsidRPr="003754A4">
              <w:rPr>
                <w:rFonts w:cs="Calibri"/>
              </w:rPr>
              <w:t>Zemelka-</w:t>
            </w:r>
            <w:proofErr w:type="spellStart"/>
            <w:r w:rsidR="00F6109A" w:rsidRPr="003754A4">
              <w:rPr>
                <w:rFonts w:cs="Calibri"/>
              </w:rPr>
              <w:t>Wiacek</w:t>
            </w:r>
            <w:proofErr w:type="spellEnd"/>
            <w:r w:rsidR="00F6109A" w:rsidRPr="003754A4">
              <w:rPr>
                <w:rFonts w:cs="Calibri"/>
              </w:rPr>
              <w:t xml:space="preserve"> M, </w:t>
            </w:r>
            <w:proofErr w:type="spellStart"/>
            <w:r w:rsidR="00F6109A" w:rsidRPr="003754A4">
              <w:rPr>
                <w:rFonts w:cs="Calibri"/>
              </w:rPr>
              <w:t>Kosowska</w:t>
            </w:r>
            <w:proofErr w:type="spellEnd"/>
            <w:r w:rsidR="00F6109A" w:rsidRPr="003754A4">
              <w:rPr>
                <w:rFonts w:cs="Calibri"/>
              </w:rPr>
              <w:t xml:space="preserve"> A, </w:t>
            </w:r>
            <w:proofErr w:type="spellStart"/>
            <w:r w:rsidR="00F6109A" w:rsidRPr="003754A4">
              <w:rPr>
                <w:rFonts w:cs="Calibri"/>
              </w:rPr>
              <w:t>Pfaar</w:t>
            </w:r>
            <w:proofErr w:type="spellEnd"/>
            <w:r w:rsidR="00F6109A" w:rsidRPr="003754A4">
              <w:rPr>
                <w:rFonts w:cs="Calibri"/>
              </w:rPr>
              <w:t xml:space="preserve"> O, </w:t>
            </w:r>
            <w:proofErr w:type="spellStart"/>
            <w:r w:rsidR="00F6109A" w:rsidRPr="003754A4">
              <w:rPr>
                <w:rFonts w:cs="Calibri"/>
              </w:rPr>
              <w:t>Agache</w:t>
            </w:r>
            <w:proofErr w:type="spellEnd"/>
            <w:r w:rsidR="00F6109A" w:rsidRPr="003754A4">
              <w:rPr>
                <w:rFonts w:cs="Calibri"/>
              </w:rPr>
              <w:t xml:space="preserve"> I, </w:t>
            </w:r>
            <w:proofErr w:type="spellStart"/>
            <w:r w:rsidR="00F6109A" w:rsidRPr="003754A4">
              <w:rPr>
                <w:rFonts w:cs="Calibri"/>
              </w:rPr>
              <w:t>Kujawa</w:t>
            </w:r>
            <w:proofErr w:type="spellEnd"/>
            <w:r w:rsidR="00F6109A" w:rsidRPr="003754A4">
              <w:rPr>
                <w:rFonts w:cs="Calibri"/>
              </w:rPr>
              <w:t xml:space="preserve"> K, </w:t>
            </w:r>
            <w:proofErr w:type="spellStart"/>
            <w:r w:rsidR="00F6109A" w:rsidRPr="003754A4">
              <w:rPr>
                <w:rFonts w:cs="Calibri"/>
              </w:rPr>
              <w:t>Jutel</w:t>
            </w:r>
            <w:proofErr w:type="spellEnd"/>
            <w:r w:rsidR="00F6109A" w:rsidRPr="003754A4">
              <w:rPr>
                <w:rFonts w:cs="Calibri"/>
              </w:rPr>
              <w:t xml:space="preserve"> M. Comparative Evaluation of an Allergen Exposure Chamber and Nasal Allergen Challenge Versus In-Field Symptom Assessment in Patients With Allergic Rhinitis Triggered by Timothy Grass Pollen. Allergy. 2025 May;80(5):1286-1297. </w:t>
            </w:r>
            <w:proofErr w:type="spellStart"/>
            <w:r w:rsidR="00F6109A" w:rsidRPr="003754A4">
              <w:rPr>
                <w:rFonts w:cs="Calibri"/>
              </w:rPr>
              <w:t>doi</w:t>
            </w:r>
            <w:proofErr w:type="spellEnd"/>
            <w:r w:rsidR="00F6109A" w:rsidRPr="003754A4">
              <w:rPr>
                <w:rFonts w:cs="Calibri"/>
              </w:rPr>
              <w:t xml:space="preserve">: 10.1111/all.16518. </w:t>
            </w:r>
            <w:proofErr w:type="spellStart"/>
            <w:r w:rsidR="00F6109A" w:rsidRPr="003754A4">
              <w:rPr>
                <w:rFonts w:cs="Calibri"/>
              </w:rPr>
              <w:t>Epub</w:t>
            </w:r>
            <w:proofErr w:type="spellEnd"/>
            <w:r w:rsidR="00F6109A" w:rsidRPr="003754A4">
              <w:rPr>
                <w:rFonts w:cs="Calibri"/>
              </w:rPr>
              <w:t xml:space="preserve"> 2025 Mar 9. PMID: 40059339; PMCID: PMC12105075.</w:t>
            </w:r>
          </w:p>
          <w:p w14:paraId="2BD95C12" w14:textId="24960E30" w:rsidR="00F6109A" w:rsidRPr="003754A4" w:rsidRDefault="00F6109A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rPr>
                <w:rFonts w:cs="Calibri"/>
                <w:b/>
              </w:rPr>
              <w:t>Publikacja</w:t>
            </w:r>
            <w:proofErr w:type="spellEnd"/>
            <w:r w:rsidR="006962EC" w:rsidRPr="003754A4">
              <w:rPr>
                <w:rFonts w:cs="Calibri"/>
                <w:b/>
              </w:rPr>
              <w:t xml:space="preserve"> </w:t>
            </w:r>
            <w:r w:rsidR="007D3800">
              <w:rPr>
                <w:rFonts w:cs="Calibri"/>
                <w:b/>
              </w:rPr>
              <w:t>2 -</w:t>
            </w:r>
            <w:r w:rsidR="006962EC" w:rsidRPr="003754A4">
              <w:rPr>
                <w:rFonts w:cs="Calibri"/>
                <w:b/>
              </w:rPr>
              <w:t xml:space="preserve"> </w:t>
            </w:r>
            <w:proofErr w:type="spellStart"/>
            <w:r w:rsidR="006962EC" w:rsidRPr="003754A4">
              <w:rPr>
                <w:rFonts w:cs="Calibri"/>
                <w:b/>
              </w:rPr>
              <w:t>osiągnięcie</w:t>
            </w:r>
            <w:proofErr w:type="spellEnd"/>
            <w:r w:rsidRPr="003754A4">
              <w:rPr>
                <w:rFonts w:cs="Calibri"/>
                <w:b/>
              </w:rPr>
              <w:t xml:space="preserve">: </w:t>
            </w:r>
            <w:proofErr w:type="spellStart"/>
            <w:r w:rsidRPr="003754A4">
              <w:rPr>
                <w:rFonts w:cs="Calibri"/>
              </w:rPr>
              <w:t>Jutel</w:t>
            </w:r>
            <w:proofErr w:type="spellEnd"/>
            <w:r w:rsidRPr="003754A4">
              <w:rPr>
                <w:rFonts w:cs="Calibri"/>
              </w:rPr>
              <w:t xml:space="preserve"> M, Zemelka-</w:t>
            </w:r>
            <w:proofErr w:type="spellStart"/>
            <w:r w:rsidRPr="003754A4">
              <w:rPr>
                <w:rFonts w:cs="Calibri"/>
              </w:rPr>
              <w:t>Wiacek</w:t>
            </w:r>
            <w:proofErr w:type="spellEnd"/>
            <w:r w:rsidRPr="003754A4">
              <w:rPr>
                <w:rFonts w:cs="Calibri"/>
              </w:rPr>
              <w:t xml:space="preserve"> M, Okamoto Y, </w:t>
            </w:r>
            <w:proofErr w:type="spellStart"/>
            <w:r w:rsidRPr="003754A4">
              <w:rPr>
                <w:rFonts w:cs="Calibri"/>
              </w:rPr>
              <w:t>Pfaar</w:t>
            </w:r>
            <w:proofErr w:type="spellEnd"/>
            <w:r w:rsidRPr="003754A4">
              <w:rPr>
                <w:rFonts w:cs="Calibri"/>
              </w:rPr>
              <w:t xml:space="preserve"> O. Algorithms in Allergy: Assessment of Rhinitis Using Allergen Exposure Chambers. Allergy. 2025 Mar;80(3):904-907. </w:t>
            </w:r>
            <w:proofErr w:type="spellStart"/>
            <w:r w:rsidRPr="003754A4">
              <w:rPr>
                <w:rFonts w:cs="Calibri"/>
              </w:rPr>
              <w:t>doi</w:t>
            </w:r>
            <w:proofErr w:type="spellEnd"/>
            <w:r w:rsidRPr="003754A4">
              <w:rPr>
                <w:rFonts w:cs="Calibri"/>
              </w:rPr>
              <w:t xml:space="preserve">: 10.1111/all.16444. </w:t>
            </w:r>
            <w:proofErr w:type="spellStart"/>
            <w:r w:rsidRPr="003754A4">
              <w:rPr>
                <w:rFonts w:cs="Calibri"/>
              </w:rPr>
              <w:t>Epub</w:t>
            </w:r>
            <w:proofErr w:type="spellEnd"/>
            <w:r w:rsidRPr="003754A4">
              <w:rPr>
                <w:rFonts w:cs="Calibri"/>
              </w:rPr>
              <w:t xml:space="preserve"> 2024 Dec 17. PMID: 39688144.</w:t>
            </w:r>
          </w:p>
          <w:p w14:paraId="1D793041" w14:textId="5DF7C02C" w:rsidR="00701821" w:rsidRPr="003754A4" w:rsidRDefault="00F6109A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rPr>
                <w:rFonts w:cs="Calibri"/>
                <w:b/>
              </w:rPr>
              <w:t>Publikacja</w:t>
            </w:r>
            <w:proofErr w:type="spellEnd"/>
            <w:r w:rsidR="006962EC" w:rsidRPr="003754A4">
              <w:rPr>
                <w:rFonts w:cs="Calibri"/>
                <w:b/>
              </w:rPr>
              <w:t xml:space="preserve"> </w:t>
            </w:r>
            <w:r w:rsidR="007D3800">
              <w:rPr>
                <w:rFonts w:cs="Calibri"/>
                <w:b/>
              </w:rPr>
              <w:t xml:space="preserve">3 </w:t>
            </w:r>
            <w:r w:rsidR="006962EC" w:rsidRPr="003754A4">
              <w:rPr>
                <w:rFonts w:cs="Calibri"/>
                <w:b/>
              </w:rPr>
              <w:t xml:space="preserve">- </w:t>
            </w:r>
            <w:proofErr w:type="spellStart"/>
            <w:r w:rsidR="006962EC" w:rsidRPr="003754A4">
              <w:rPr>
                <w:rFonts w:cs="Calibri"/>
                <w:b/>
              </w:rPr>
              <w:t>osiągnięcie</w:t>
            </w:r>
            <w:proofErr w:type="spellEnd"/>
            <w:r w:rsidRPr="003754A4">
              <w:rPr>
                <w:rFonts w:cs="Calibri"/>
                <w:b/>
              </w:rPr>
              <w:t xml:space="preserve">: </w:t>
            </w:r>
            <w:r w:rsidRPr="003754A4">
              <w:rPr>
                <w:rFonts w:cs="Calibri"/>
              </w:rPr>
              <w:t>Zemelka-</w:t>
            </w:r>
            <w:proofErr w:type="spellStart"/>
            <w:r w:rsidRPr="003754A4">
              <w:rPr>
                <w:rFonts w:cs="Calibri"/>
              </w:rPr>
              <w:t>Wiacek</w:t>
            </w:r>
            <w:proofErr w:type="spellEnd"/>
            <w:r w:rsidRPr="003754A4">
              <w:rPr>
                <w:rFonts w:cs="Calibri"/>
              </w:rPr>
              <w:t xml:space="preserve"> M. A Modern Approach to Clinical Outcome Assessment in Allergy Management: Advantages of Allergen Exposure Chambers. J </w:t>
            </w:r>
            <w:proofErr w:type="spellStart"/>
            <w:r w:rsidRPr="003754A4">
              <w:rPr>
                <w:rFonts w:cs="Calibri"/>
              </w:rPr>
              <w:t>Clin</w:t>
            </w:r>
            <w:proofErr w:type="spellEnd"/>
            <w:r w:rsidRPr="003754A4">
              <w:rPr>
                <w:rFonts w:cs="Calibri"/>
              </w:rPr>
              <w:t xml:space="preserve"> Med. 2024 Nov 29;13(23):7268. </w:t>
            </w:r>
            <w:proofErr w:type="spellStart"/>
            <w:r w:rsidRPr="003754A4">
              <w:rPr>
                <w:rFonts w:cs="Calibri"/>
              </w:rPr>
              <w:t>doi</w:t>
            </w:r>
            <w:proofErr w:type="spellEnd"/>
            <w:r w:rsidRPr="003754A4">
              <w:rPr>
                <w:rFonts w:cs="Calibri"/>
              </w:rPr>
              <w:t>: 10.3390/jcm13237268. PMID: 39685727; PMCID: PMC11642559.</w:t>
            </w:r>
          </w:p>
          <w:p w14:paraId="4D18C3E8" w14:textId="00039214" w:rsidR="00A86A5D" w:rsidRPr="003754A4" w:rsidRDefault="00A86A5D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t>Zaproszenie</w:t>
            </w:r>
            <w:proofErr w:type="spellEnd"/>
            <w:r w:rsidRPr="003754A4">
              <w:t xml:space="preserve"> do </w:t>
            </w:r>
            <w:proofErr w:type="spellStart"/>
            <w:r w:rsidRPr="003754A4">
              <w:t>wygłoszenia</w:t>
            </w:r>
            <w:proofErr w:type="spellEnd"/>
            <w:r w:rsidRPr="003754A4">
              <w:t xml:space="preserve"> </w:t>
            </w:r>
            <w:proofErr w:type="spellStart"/>
            <w:r w:rsidRPr="003754A4">
              <w:t>wykładu</w:t>
            </w:r>
            <w:proofErr w:type="spellEnd"/>
            <w:r w:rsidRPr="003754A4">
              <w:t xml:space="preserve"> </w:t>
            </w:r>
            <w:proofErr w:type="spellStart"/>
            <w:r w:rsidRPr="003754A4">
              <w:t>naukowego</w:t>
            </w:r>
            <w:proofErr w:type="spellEnd"/>
            <w:r w:rsidRPr="003754A4">
              <w:t xml:space="preserve"> w Paul-Ehrlich-</w:t>
            </w:r>
            <w:proofErr w:type="spellStart"/>
            <w:r w:rsidRPr="003754A4">
              <w:t>Institut</w:t>
            </w:r>
            <w:proofErr w:type="spellEnd"/>
            <w:r w:rsidRPr="003754A4">
              <w:t xml:space="preserve"> (PEI), </w:t>
            </w:r>
            <w:proofErr w:type="spellStart"/>
            <w:r w:rsidRPr="003754A4">
              <w:t>Niemcy</w:t>
            </w:r>
            <w:proofErr w:type="spellEnd"/>
            <w:r w:rsidRPr="003754A4">
              <w:t>.</w:t>
            </w:r>
          </w:p>
          <w:p w14:paraId="4569DD96" w14:textId="666604EC" w:rsidR="00F6109A" w:rsidRPr="003754A4" w:rsidRDefault="00F6109A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rPr>
                <w:rFonts w:cs="Calibri"/>
                <w:b/>
              </w:rPr>
              <w:t>Rekomend</w:t>
            </w:r>
            <w:r w:rsidR="00792AF0" w:rsidRPr="003754A4">
              <w:rPr>
                <w:rFonts w:cs="Calibri"/>
                <w:b/>
              </w:rPr>
              <w:t>a</w:t>
            </w:r>
            <w:r w:rsidRPr="003754A4">
              <w:rPr>
                <w:rFonts w:cs="Calibri"/>
                <w:b/>
              </w:rPr>
              <w:t>cja</w:t>
            </w:r>
            <w:proofErr w:type="spellEnd"/>
            <w:r w:rsidRPr="003754A4">
              <w:rPr>
                <w:rFonts w:cs="Calibri"/>
                <w:b/>
              </w:rPr>
              <w:t xml:space="preserve"> </w:t>
            </w:r>
            <w:r w:rsidR="00CE0CF4" w:rsidRPr="003754A4">
              <w:rPr>
                <w:rFonts w:cs="Calibri"/>
                <w:bCs/>
              </w:rPr>
              <w:t>P</w:t>
            </w:r>
            <w:r w:rsidRPr="003754A4">
              <w:rPr>
                <w:rFonts w:cs="Calibri"/>
                <w:bCs/>
              </w:rPr>
              <w:t>rof.</w:t>
            </w:r>
            <w:r w:rsidRPr="003754A4">
              <w:rPr>
                <w:rFonts w:eastAsia="Times New Roman" w:cs="Calibri"/>
                <w:bCs/>
              </w:rPr>
              <w:t xml:space="preserve"> </w:t>
            </w:r>
            <w:proofErr w:type="spellStart"/>
            <w:r w:rsidRPr="003754A4">
              <w:rPr>
                <w:rFonts w:eastAsia="Times New Roman" w:cs="Calibri"/>
                <w:bCs/>
              </w:rPr>
              <w:t>Radosława</w:t>
            </w:r>
            <w:proofErr w:type="spellEnd"/>
            <w:r w:rsidRPr="003754A4">
              <w:rPr>
                <w:rFonts w:eastAsia="Times New Roman" w:cs="Calibri"/>
                <w:bCs/>
              </w:rPr>
              <w:t xml:space="preserve"> </w:t>
            </w:r>
            <w:proofErr w:type="spellStart"/>
            <w:r w:rsidRPr="003754A4">
              <w:rPr>
                <w:rFonts w:eastAsia="Times New Roman" w:cs="Calibri"/>
                <w:bCs/>
              </w:rPr>
              <w:t>Gawlika</w:t>
            </w:r>
            <w:proofErr w:type="spellEnd"/>
          </w:p>
          <w:p w14:paraId="41E29B42" w14:textId="59D95020" w:rsidR="00F6109A" w:rsidRPr="003B375D" w:rsidRDefault="00F6109A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3754A4">
              <w:rPr>
                <w:rFonts w:cs="Calibri"/>
                <w:b/>
              </w:rPr>
              <w:t>Rekomendacja</w:t>
            </w:r>
            <w:proofErr w:type="spellEnd"/>
            <w:r w:rsidRPr="003754A4">
              <w:rPr>
                <w:rFonts w:cs="Calibri"/>
                <w:b/>
              </w:rPr>
              <w:t xml:space="preserve"> </w:t>
            </w:r>
            <w:r w:rsidR="00CE0CF4" w:rsidRPr="003754A4">
              <w:rPr>
                <w:rFonts w:cs="Calibri"/>
                <w:bCs/>
              </w:rPr>
              <w:t>P</w:t>
            </w:r>
            <w:r w:rsidRPr="003754A4">
              <w:rPr>
                <w:rFonts w:cs="Calibri"/>
                <w:bCs/>
              </w:rPr>
              <w:t>rof.</w:t>
            </w:r>
            <w:r w:rsidRPr="003754A4">
              <w:rPr>
                <w:rFonts w:eastAsia="Times New Roman" w:cs="Calibri"/>
                <w:bCs/>
              </w:rPr>
              <w:t xml:space="preserve"> </w:t>
            </w:r>
            <w:proofErr w:type="spellStart"/>
            <w:r w:rsidRPr="003754A4">
              <w:rPr>
                <w:rFonts w:eastAsia="Times New Roman" w:cs="Calibri"/>
                <w:bCs/>
              </w:rPr>
              <w:t>Kariny</w:t>
            </w:r>
            <w:proofErr w:type="spellEnd"/>
            <w:r w:rsidRPr="003754A4">
              <w:rPr>
                <w:rFonts w:eastAsia="Times New Roman" w:cs="Calibri"/>
                <w:bCs/>
              </w:rPr>
              <w:t xml:space="preserve"> </w:t>
            </w:r>
            <w:proofErr w:type="spellStart"/>
            <w:r w:rsidRPr="003754A4">
              <w:rPr>
                <w:rFonts w:eastAsia="Times New Roman" w:cs="Calibri"/>
                <w:bCs/>
              </w:rPr>
              <w:t>Jahn</w:t>
            </w:r>
            <w:r w:rsidR="005E40B3" w:rsidRPr="003754A4">
              <w:rPr>
                <w:rFonts w:eastAsia="Times New Roman" w:cs="Calibri"/>
                <w:bCs/>
              </w:rPr>
              <w:t>z</w:t>
            </w:r>
            <w:r w:rsidRPr="003754A4">
              <w:rPr>
                <w:rFonts w:eastAsia="Times New Roman" w:cs="Calibri"/>
                <w:bCs/>
              </w:rPr>
              <w:t>-</w:t>
            </w:r>
            <w:r w:rsidR="00416CA1">
              <w:rPr>
                <w:rFonts w:eastAsia="Times New Roman" w:cs="Calibri"/>
                <w:bCs/>
              </w:rPr>
              <w:t>R</w:t>
            </w:r>
            <w:r w:rsidR="000F09E6" w:rsidRPr="003754A4">
              <w:rPr>
                <w:rFonts w:eastAsia="Times New Roman" w:cs="Calibri"/>
                <w:bCs/>
              </w:rPr>
              <w:t>ó</w:t>
            </w:r>
            <w:r w:rsidRPr="003754A4">
              <w:rPr>
                <w:rFonts w:eastAsia="Times New Roman" w:cs="Calibri"/>
                <w:bCs/>
              </w:rPr>
              <w:t>żyk</w:t>
            </w:r>
            <w:proofErr w:type="spellEnd"/>
          </w:p>
          <w:p w14:paraId="70CBEA88" w14:textId="185A4D42" w:rsidR="003B375D" w:rsidRPr="0009450C" w:rsidRDefault="003B375D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09450C">
              <w:rPr>
                <w:rFonts w:eastAsia="Times New Roman" w:cs="Calibri"/>
              </w:rPr>
              <w:t>Oświadczenia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kandydata</w:t>
            </w:r>
            <w:proofErr w:type="spellEnd"/>
            <w:r w:rsidRPr="0009450C">
              <w:rPr>
                <w:rFonts w:eastAsia="Times New Roman" w:cs="Calibri"/>
              </w:rPr>
              <w:t xml:space="preserve"> do </w:t>
            </w:r>
            <w:proofErr w:type="spellStart"/>
            <w:r w:rsidRPr="0009450C">
              <w:rPr>
                <w:rFonts w:eastAsia="Times New Roman" w:cs="Calibri"/>
              </w:rPr>
              <w:t>nagrody</w:t>
            </w:r>
            <w:proofErr w:type="spellEnd"/>
            <w:r w:rsidRPr="0009450C">
              <w:rPr>
                <w:rFonts w:eastAsia="Times New Roman" w:cs="Calibri"/>
              </w:rPr>
              <w:t xml:space="preserve"> o </w:t>
            </w:r>
            <w:proofErr w:type="spellStart"/>
            <w:r w:rsidRPr="0009450C">
              <w:rPr>
                <w:rFonts w:eastAsia="Times New Roman" w:cs="Calibri"/>
              </w:rPr>
              <w:t>niekaralności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za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umyślne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przestępstwo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lub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umyślne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przestępstwo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skarbowe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lub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karą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dyscyplinarną</w:t>
            </w:r>
            <w:proofErr w:type="spellEnd"/>
          </w:p>
          <w:p w14:paraId="09DB5F8C" w14:textId="6BED68CE" w:rsidR="003B375D" w:rsidRPr="0009450C" w:rsidRDefault="003B375D" w:rsidP="003754A4">
            <w:pPr>
              <w:pStyle w:val="TableParagraph"/>
              <w:numPr>
                <w:ilvl w:val="0"/>
                <w:numId w:val="3"/>
              </w:numPr>
              <w:spacing w:line="288" w:lineRule="auto"/>
              <w:ind w:left="380" w:hanging="278"/>
              <w:jc w:val="both"/>
              <w:rPr>
                <w:rFonts w:eastAsia="Times New Roman" w:cs="Calibri"/>
              </w:rPr>
            </w:pPr>
            <w:proofErr w:type="spellStart"/>
            <w:r w:rsidRPr="0009450C">
              <w:rPr>
                <w:rFonts w:eastAsia="Times New Roman" w:cs="Calibri"/>
              </w:rPr>
              <w:t>Oświadczenia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kandydata</w:t>
            </w:r>
            <w:proofErr w:type="spellEnd"/>
            <w:r w:rsidRPr="0009450C">
              <w:rPr>
                <w:rFonts w:eastAsia="Times New Roman" w:cs="Calibri"/>
              </w:rPr>
              <w:t xml:space="preserve"> do </w:t>
            </w:r>
            <w:proofErr w:type="spellStart"/>
            <w:r w:rsidRPr="0009450C">
              <w:rPr>
                <w:rFonts w:eastAsia="Times New Roman" w:cs="Calibri"/>
              </w:rPr>
              <w:t>nagrody</w:t>
            </w:r>
            <w:proofErr w:type="spellEnd"/>
            <w:r w:rsidRPr="0009450C">
              <w:rPr>
                <w:rFonts w:eastAsia="Times New Roman" w:cs="Calibri"/>
              </w:rPr>
              <w:t xml:space="preserve"> o </w:t>
            </w:r>
            <w:proofErr w:type="spellStart"/>
            <w:r w:rsidRPr="0009450C">
              <w:rPr>
                <w:rFonts w:eastAsia="Times New Roman" w:cs="Calibri"/>
              </w:rPr>
              <w:t>wyrażeniu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zgody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na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przetwarzanie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jego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danych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osobowych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na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potrzeby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rozpatrzenia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wniosku</w:t>
            </w:r>
            <w:proofErr w:type="spellEnd"/>
            <w:r w:rsidRPr="0009450C">
              <w:rPr>
                <w:rFonts w:eastAsia="Times New Roman" w:cs="Calibri"/>
              </w:rPr>
              <w:t xml:space="preserve">, </w:t>
            </w:r>
            <w:proofErr w:type="spellStart"/>
            <w:r w:rsidRPr="0009450C">
              <w:rPr>
                <w:rFonts w:eastAsia="Times New Roman" w:cs="Calibri"/>
              </w:rPr>
              <w:t>przyznania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oraz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wypłacenia</w:t>
            </w:r>
            <w:proofErr w:type="spellEnd"/>
            <w:r w:rsidRPr="0009450C">
              <w:rPr>
                <w:rFonts w:eastAsia="Times New Roman" w:cs="Calibri"/>
              </w:rPr>
              <w:t xml:space="preserve"> </w:t>
            </w:r>
            <w:proofErr w:type="spellStart"/>
            <w:r w:rsidRPr="0009450C">
              <w:rPr>
                <w:rFonts w:eastAsia="Times New Roman" w:cs="Calibri"/>
              </w:rPr>
              <w:t>nagrody</w:t>
            </w:r>
            <w:proofErr w:type="spellEnd"/>
          </w:p>
          <w:p w14:paraId="7ACA9B64" w14:textId="6A6095B2" w:rsidR="00F6109A" w:rsidRPr="007044ED" w:rsidRDefault="00F6109A" w:rsidP="005A039A">
            <w:pPr>
              <w:pStyle w:val="TableParagraph"/>
              <w:spacing w:before="14" w:after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</w:tr>
      <w:tr w:rsidR="00701821" w:rsidRPr="007044ED" w14:paraId="397345FB" w14:textId="77777777" w:rsidTr="00560959">
        <w:trPr>
          <w:trHeight w:hRule="exact" w:val="893"/>
        </w:trPr>
        <w:tc>
          <w:tcPr>
            <w:tcW w:w="99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7330" w14:textId="77777777" w:rsidR="00701821" w:rsidRPr="007044ED" w:rsidRDefault="00701821" w:rsidP="005A039A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5792D366" w14:textId="77777777" w:rsidR="00701821" w:rsidRPr="007044ED" w:rsidRDefault="00701821" w:rsidP="00701821">
            <w:pPr>
              <w:pStyle w:val="Akapitzlist"/>
              <w:numPr>
                <w:ilvl w:val="0"/>
                <w:numId w:val="1"/>
              </w:numPr>
              <w:tabs>
                <w:tab w:val="left" w:pos="299"/>
              </w:tabs>
              <w:spacing w:before="9"/>
              <w:ind w:hanging="170"/>
              <w:contextualSpacing w:val="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sz w:val="18"/>
                <w:lang w:val="pl-PL"/>
              </w:rPr>
              <w:t xml:space="preserve"> informacje zawarte we wniosku są zgodne ze stanem faktycznym i prawnym;</w:t>
            </w:r>
          </w:p>
          <w:p w14:paraId="3EE82540" w14:textId="77777777" w:rsidR="00701821" w:rsidRPr="002B125E" w:rsidRDefault="00701821" w:rsidP="00701821">
            <w:pPr>
              <w:pStyle w:val="Akapitzlist"/>
              <w:numPr>
                <w:ilvl w:val="0"/>
                <w:numId w:val="1"/>
              </w:numPr>
              <w:tabs>
                <w:tab w:val="left" w:pos="319"/>
              </w:tabs>
              <w:spacing w:before="14" w:line="256" w:lineRule="auto"/>
              <w:ind w:right="99" w:hanging="170"/>
              <w:contextualSpacing w:val="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sz w:val="18"/>
                <w:lang w:val="pl-PL"/>
              </w:rPr>
              <w:t xml:space="preserve"> wyrażam zgodę na przesyłanie korespondencji za pomocą środków komunikacji elektronicznej, o których mowa w ustawie z dnia</w:t>
            </w:r>
            <w:r w:rsidRPr="007044ED">
              <w:rPr>
                <w:rFonts w:ascii="Times New Roman" w:hAnsi="Times New Roman"/>
                <w:sz w:val="18"/>
                <w:lang w:val="pl-PL"/>
              </w:rPr>
              <w:br/>
              <w:t>18 lipca 2002 r. o świadczeniu usług drogą elektroniczną (Dz. U. z 2024 r. poz. 1513, z późn. zm.).</w:t>
            </w:r>
          </w:p>
          <w:p w14:paraId="76BE0ABC" w14:textId="77777777" w:rsidR="002B125E" w:rsidRPr="002B125E" w:rsidRDefault="002B125E" w:rsidP="002B125E">
            <w:pPr>
              <w:tabs>
                <w:tab w:val="left" w:pos="319"/>
              </w:tabs>
              <w:spacing w:before="14" w:line="256" w:lineRule="auto"/>
              <w:ind w:right="99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02F96A3A" w14:textId="77777777" w:rsidR="002B125E" w:rsidRPr="002B125E" w:rsidRDefault="002B125E" w:rsidP="002B125E">
            <w:pPr>
              <w:tabs>
                <w:tab w:val="left" w:pos="319"/>
              </w:tabs>
              <w:spacing w:before="14" w:line="256" w:lineRule="auto"/>
              <w:ind w:right="99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  <w:p w14:paraId="36C4DD87" w14:textId="77777777" w:rsidR="002B125E" w:rsidRPr="002B125E" w:rsidRDefault="002B125E" w:rsidP="002B125E">
            <w:pPr>
              <w:tabs>
                <w:tab w:val="left" w:pos="319"/>
              </w:tabs>
              <w:spacing w:before="14" w:line="256" w:lineRule="auto"/>
              <w:ind w:right="99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</w:tr>
      <w:tr w:rsidR="00701821" w:rsidRPr="007044ED" w14:paraId="0D1D8380" w14:textId="77777777" w:rsidTr="0056095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8208" w14:textId="77777777" w:rsidR="00701821" w:rsidRPr="007044ED" w:rsidRDefault="00701821" w:rsidP="005A039A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29992A33" w14:textId="77777777" w:rsidR="00701821" w:rsidRPr="007044ED" w:rsidRDefault="00701821" w:rsidP="005A039A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044ED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B054" w14:textId="56B19DE5" w:rsidR="00701821" w:rsidRPr="007044ED" w:rsidRDefault="00701821" w:rsidP="005A039A">
            <w:pPr>
              <w:widowControl/>
              <w:spacing w:before="30" w:after="10" w:line="270" w:lineRule="exact"/>
              <w:ind w:left="28" w:right="28"/>
              <w:rPr>
                <w:rFonts w:cs="Calibri"/>
                <w:b/>
                <w:lang w:val="pl-PL"/>
              </w:rPr>
            </w:pPr>
          </w:p>
        </w:tc>
      </w:tr>
    </w:tbl>
    <w:p w14:paraId="2E4A6F87" w14:textId="77777777" w:rsidR="00701821" w:rsidRPr="007044ED" w:rsidRDefault="00701821">
      <w:pPr>
        <w:rPr>
          <w:lang w:val="pl-PL"/>
        </w:rPr>
      </w:pPr>
    </w:p>
    <w:p w14:paraId="1FB08C5E" w14:textId="6317A1E4" w:rsidR="00701821" w:rsidRPr="007044ED" w:rsidRDefault="00701821" w:rsidP="000B5C78">
      <w:pPr>
        <w:pStyle w:val="Tekstpodstawowy"/>
        <w:spacing w:before="53" w:line="230" w:lineRule="exact"/>
        <w:ind w:hanging="255"/>
        <w:rPr>
          <w:lang w:val="pl-PL"/>
        </w:rPr>
      </w:pPr>
      <w:r w:rsidRPr="007044ED">
        <w:rPr>
          <w:lang w:val="pl-PL"/>
        </w:rPr>
        <w:t>O b j a ś n i e n i a:</w:t>
      </w:r>
    </w:p>
    <w:p w14:paraId="5305BF8C" w14:textId="77777777" w:rsidR="00701821" w:rsidRPr="007044ED" w:rsidRDefault="00701821" w:rsidP="00701821">
      <w:pPr>
        <w:pStyle w:val="Tekstpodstawowy"/>
        <w:spacing w:line="230" w:lineRule="exact"/>
        <w:ind w:left="392" w:hanging="292"/>
        <w:rPr>
          <w:lang w:val="pl-PL"/>
        </w:rPr>
      </w:pPr>
      <w:r w:rsidRPr="007044ED">
        <w:rPr>
          <w:position w:val="8"/>
          <w:sz w:val="12"/>
          <w:lang w:val="pl-PL"/>
        </w:rPr>
        <w:t>1)</w:t>
      </w:r>
      <w:r w:rsidRPr="007044ED">
        <w:rPr>
          <w:position w:val="8"/>
          <w:sz w:val="12"/>
          <w:lang w:val="pl-PL"/>
        </w:rPr>
        <w:tab/>
      </w:r>
      <w:r w:rsidRPr="007044ED">
        <w:rPr>
          <w:lang w:val="pl-PL"/>
        </w:rPr>
        <w:t>Należy zaznaczyć właściwy kwadrat.</w:t>
      </w:r>
    </w:p>
    <w:p w14:paraId="1E92500D" w14:textId="677079C4" w:rsidR="00701821" w:rsidRPr="007044ED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7044ED">
        <w:rPr>
          <w:position w:val="8"/>
          <w:sz w:val="12"/>
          <w:szCs w:val="12"/>
          <w:lang w:val="pl-PL"/>
        </w:rPr>
        <w:t>2)</w:t>
      </w:r>
      <w:r w:rsidRPr="007044ED">
        <w:rPr>
          <w:position w:val="8"/>
          <w:sz w:val="12"/>
          <w:szCs w:val="12"/>
          <w:lang w:val="pl-PL"/>
        </w:rPr>
        <w:tab/>
      </w:r>
      <w:r w:rsidRPr="007044ED">
        <w:rPr>
          <w:lang w:val="pl-PL"/>
        </w:rPr>
        <w:t>W przypadku wniosku o przyznanie nagrody zespołowej część „KANDYDAT DO NAGRODY” należy powtórzyć odpowiednio do</w:t>
      </w:r>
      <w:r w:rsidR="006A1B9F">
        <w:rPr>
          <w:lang w:val="pl-PL"/>
        </w:rPr>
        <w:t xml:space="preserve"> </w:t>
      </w:r>
      <w:r w:rsidRPr="007044ED">
        <w:rPr>
          <w:lang w:val="pl-PL"/>
        </w:rPr>
        <w:t>liczby osób objętych wnioskiem i wypełnić indywidualnie dla każdej z tych osób.</w:t>
      </w:r>
    </w:p>
    <w:p w14:paraId="6E15D5AA" w14:textId="77777777" w:rsidR="00701821" w:rsidRPr="00906E48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7044ED">
        <w:rPr>
          <w:position w:val="8"/>
          <w:sz w:val="12"/>
          <w:lang w:val="pl-PL"/>
        </w:rPr>
        <w:t>3)</w:t>
      </w:r>
      <w:r w:rsidRPr="007044ED">
        <w:rPr>
          <w:position w:val="8"/>
          <w:sz w:val="12"/>
          <w:lang w:val="pl-PL"/>
        </w:rPr>
        <w:tab/>
      </w:r>
      <w:r w:rsidRPr="00906E48">
        <w:rPr>
          <w:lang w:val="pl-PL"/>
        </w:rPr>
        <w:t>Należy wypełnić wyłącznie w przypadku wniosku o przyznanie nagrody zespołowej.</w:t>
      </w:r>
    </w:p>
    <w:p w14:paraId="56B2DDE2" w14:textId="77777777" w:rsidR="00701821" w:rsidRPr="00906E48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906E48">
        <w:rPr>
          <w:position w:val="8"/>
          <w:sz w:val="12"/>
          <w:lang w:val="pl-PL"/>
        </w:rPr>
        <w:t>4)</w:t>
      </w:r>
      <w:r w:rsidRPr="00906E48">
        <w:rPr>
          <w:position w:val="8"/>
          <w:sz w:val="12"/>
          <w:lang w:val="pl-PL"/>
        </w:rPr>
        <w:tab/>
      </w:r>
      <w:r w:rsidRPr="00906E48">
        <w:rPr>
          <w:lang w:val="pl-PL"/>
        </w:rPr>
        <w:t>Szczegółowy opis osiągnięć powinien uwzględniać odpowiednio do rodzaju nagrody w przypadku nagród za:</w:t>
      </w:r>
    </w:p>
    <w:p w14:paraId="26F6FBFF" w14:textId="77777777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906E48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6C2E37C1" w14:textId="0AE0063D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906E48">
        <w:rPr>
          <w:lang w:val="pl-PL"/>
        </w:rPr>
        <w:t>znaczące osiągnięcia w zakresie działalności dydaktycznej – informację o działalności kandydata w zakresie kształcenia studentów (w przypadku uczelni medycznych) lub doktorantów, sposobie realizacji kształcenia specjalistycznego lub innych form kształcenia lub o opracowanych przez kandydata do nagrody podręcznikach akademickich;</w:t>
      </w:r>
    </w:p>
    <w:p w14:paraId="441DEA50" w14:textId="77777777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906E48">
        <w:rPr>
          <w:lang w:val="pl-PL"/>
        </w:rPr>
        <w:t>za znaczące osiągnięcia w zakresie działalności wdrożeniowej – informację o:</w:t>
      </w:r>
    </w:p>
    <w:p w14:paraId="4AB2DB00" w14:textId="1B566418" w:rsidR="00701821" w:rsidRPr="00906E48" w:rsidRDefault="00701821" w:rsidP="00701821">
      <w:pPr>
        <w:pStyle w:val="Tekstpodstawowy"/>
        <w:numPr>
          <w:ilvl w:val="1"/>
          <w:numId w:val="2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906E48">
        <w:rPr>
          <w:lang w:val="pl-PL"/>
        </w:rPr>
        <w:t>sposobie wykorzystania wyników badań naukowych lub prac rozwojowych, wraz ze wskazaniem podmiotu, który je wykorzystał, lub</w:t>
      </w:r>
    </w:p>
    <w:p w14:paraId="4A8863F8" w14:textId="77777777" w:rsidR="00701821" w:rsidRPr="00906E48" w:rsidRDefault="00701821" w:rsidP="00701821">
      <w:pPr>
        <w:pStyle w:val="Tekstpodstawowy"/>
        <w:numPr>
          <w:ilvl w:val="1"/>
          <w:numId w:val="2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906E48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6D6FFA2E" w14:textId="77777777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906E48">
        <w:rPr>
          <w:lang w:val="pl-PL"/>
        </w:rPr>
        <w:t>znaczące osiągnięcia w zakresie działalności organizacyjnej, określone w § 2 pkt 4 lit. a i b – informację o udziale kandydata</w:t>
      </w:r>
      <w:r w:rsidRPr="00906E48">
        <w:rPr>
          <w:lang w:val="pl-PL"/>
        </w:rPr>
        <w:br/>
        <w:t>w inicjatywach wymienionych w tych przepisach oraz o uzyskanych w ich wyniku efektach;</w:t>
      </w:r>
    </w:p>
    <w:p w14:paraId="7BDDB5C9" w14:textId="2AD2CF84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906E48">
        <w:rPr>
          <w:lang w:val="pl-PL"/>
        </w:rPr>
        <w:t>znaczące osiągnięcia w zakresie działalności organizacyjnej, określone w § 2 pkt 4 lit. c – informację o osiągnięciach zarząd</w:t>
      </w:r>
      <w:r w:rsidR="002B125E">
        <w:rPr>
          <w:lang w:val="pl-PL"/>
        </w:rPr>
        <w:t>c</w:t>
      </w:r>
      <w:r w:rsidRPr="00906E48">
        <w:rPr>
          <w:lang w:val="pl-PL"/>
        </w:rPr>
        <w:t>zych lub organizacyjnych, w szczególności w zakresie gospodarowania majątkiem, polityki kadrowej, poprawy wyniku finansowego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0393E2A0" w14:textId="77777777" w:rsidR="00701821" w:rsidRPr="00906E48" w:rsidRDefault="00701821" w:rsidP="00701821">
      <w:pPr>
        <w:pStyle w:val="Tekstpodstawowy"/>
        <w:numPr>
          <w:ilvl w:val="0"/>
          <w:numId w:val="2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906E48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5B69B850" w14:textId="77777777" w:rsidR="00701821" w:rsidRPr="00906E48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906E48">
        <w:rPr>
          <w:position w:val="8"/>
          <w:sz w:val="12"/>
          <w:lang w:val="pl-PL"/>
        </w:rPr>
        <w:t>5)</w:t>
      </w:r>
      <w:r w:rsidRPr="00906E48">
        <w:rPr>
          <w:position w:val="8"/>
          <w:sz w:val="12"/>
          <w:lang w:val="pl-PL"/>
        </w:rPr>
        <w:tab/>
      </w:r>
      <w:r w:rsidRPr="00906E48">
        <w:rPr>
          <w:lang w:val="pl-PL"/>
        </w:rPr>
        <w:t>Opis znaczących osiągnięć nie powinien przekroczyć 5000 znaków. W przypadku gdy szczegółowy opis znaczących osiągnięć</w:t>
      </w:r>
    </w:p>
    <w:p w14:paraId="01D0CB01" w14:textId="77777777" w:rsidR="00701821" w:rsidRPr="00906E48" w:rsidRDefault="00701821" w:rsidP="0070182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906E48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42089518" w14:textId="77777777" w:rsidR="00701821" w:rsidRPr="007044ED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906E48">
        <w:rPr>
          <w:position w:val="8"/>
          <w:sz w:val="12"/>
          <w:szCs w:val="12"/>
          <w:lang w:val="pl-PL"/>
        </w:rPr>
        <w:t>6)</w:t>
      </w:r>
      <w:r w:rsidRPr="00906E48">
        <w:rPr>
          <w:position w:val="8"/>
          <w:sz w:val="12"/>
          <w:szCs w:val="12"/>
          <w:lang w:val="pl-PL"/>
        </w:rPr>
        <w:tab/>
      </w:r>
      <w:r w:rsidRPr="00906E48">
        <w:rPr>
          <w:lang w:val="pl-PL"/>
        </w:rPr>
        <w:t>Należy w szczególności wykazać spełnienie kryteriów określonych w § 7 rozporządzenia Ministra Zdrowia z dnia 13 czerwca 2019 r.</w:t>
      </w:r>
    </w:p>
    <w:p w14:paraId="5E4C883F" w14:textId="77777777" w:rsidR="00701821" w:rsidRPr="007044ED" w:rsidRDefault="00701821" w:rsidP="0070182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7044ED">
        <w:rPr>
          <w:lang w:val="pl-PL"/>
        </w:rPr>
        <w:t>w sprawie nagród ministra właściwego do spraw zdrowia dla nauczycieli akademickich (Dz. U. poz. 1150).</w:t>
      </w:r>
    </w:p>
    <w:p w14:paraId="3913B127" w14:textId="77777777" w:rsidR="00701821" w:rsidRPr="007044ED" w:rsidRDefault="00701821" w:rsidP="0070182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7044ED">
        <w:rPr>
          <w:position w:val="8"/>
          <w:sz w:val="12"/>
          <w:lang w:val="pl-PL"/>
        </w:rPr>
        <w:t>7)</w:t>
      </w:r>
      <w:r w:rsidRPr="007044ED">
        <w:rPr>
          <w:position w:val="8"/>
          <w:sz w:val="12"/>
          <w:lang w:val="pl-PL"/>
        </w:rPr>
        <w:tab/>
      </w:r>
      <w:r w:rsidRPr="007044ED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p w14:paraId="1BF542C7" w14:textId="07B2B49C" w:rsidR="00772DC2" w:rsidRPr="007044ED" w:rsidRDefault="00772DC2" w:rsidP="00772DC2">
      <w:pPr>
        <w:rPr>
          <w:lang w:val="pl-PL"/>
        </w:rPr>
      </w:pPr>
    </w:p>
    <w:sectPr w:rsidR="00772DC2" w:rsidRPr="007044ED" w:rsidSect="00434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C4C38" w14:textId="77777777" w:rsidR="0032007A" w:rsidRDefault="0032007A" w:rsidP="001565B9">
      <w:r>
        <w:separator/>
      </w:r>
    </w:p>
  </w:endnote>
  <w:endnote w:type="continuationSeparator" w:id="0">
    <w:p w14:paraId="414546BA" w14:textId="77777777" w:rsidR="0032007A" w:rsidRDefault="0032007A" w:rsidP="0015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FEFC" w14:textId="77777777" w:rsidR="004A4E99" w:rsidRDefault="004A4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8C89" w14:textId="77777777" w:rsidR="004A4E99" w:rsidRDefault="004A4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E0EC" w14:textId="77777777" w:rsidR="004A4E99" w:rsidRDefault="004A4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37E6" w14:textId="77777777" w:rsidR="0032007A" w:rsidRDefault="0032007A" w:rsidP="001565B9">
      <w:r>
        <w:separator/>
      </w:r>
    </w:p>
  </w:footnote>
  <w:footnote w:type="continuationSeparator" w:id="0">
    <w:p w14:paraId="18E179D2" w14:textId="77777777" w:rsidR="0032007A" w:rsidRDefault="0032007A" w:rsidP="0015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9C27C" w14:textId="77777777" w:rsidR="004A4E99" w:rsidRDefault="004A4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4B19" w14:textId="5CA76A0B" w:rsidR="001565B9" w:rsidRDefault="001565B9" w:rsidP="001565B9">
    <w:pPr>
      <w:pStyle w:val="Nagwek"/>
      <w:ind w:firstLine="4536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6D8FF" w14:textId="4B94F693" w:rsidR="00434149" w:rsidRDefault="00434149" w:rsidP="00434149">
    <w:pPr>
      <w:pStyle w:val="Nagwek"/>
      <w:ind w:firstLine="4536"/>
      <w:jc w:val="both"/>
    </w:pPr>
    <w:r>
      <w:t xml:space="preserve">Załącznik do Uchwały nr </w:t>
    </w:r>
    <w:r w:rsidR="004A4E99">
      <w:t>2925</w:t>
    </w:r>
  </w:p>
  <w:p w14:paraId="360F52C1" w14:textId="77777777" w:rsidR="00434149" w:rsidRDefault="00434149" w:rsidP="00434149">
    <w:pPr>
      <w:pStyle w:val="Nagwek"/>
      <w:ind w:firstLine="4536"/>
      <w:jc w:val="both"/>
    </w:pPr>
    <w:r>
      <w:t xml:space="preserve">Senatu Uniwersytetu Medycznego we Wrocławiu </w:t>
    </w:r>
  </w:p>
  <w:p w14:paraId="04E67EB9" w14:textId="77777777" w:rsidR="00434149" w:rsidRDefault="00434149" w:rsidP="00434149">
    <w:pPr>
      <w:pStyle w:val="Nagwek"/>
      <w:ind w:firstLine="4536"/>
      <w:jc w:val="both"/>
    </w:pPr>
    <w:r>
      <w:t>z dnia 24 czerwca</w:t>
    </w:r>
    <w:bookmarkStart w:id="0" w:name="_GoBack"/>
    <w:bookmarkEnd w:id="0"/>
    <w:r>
      <w:t xml:space="preserve"> 2026 r.</w:t>
    </w:r>
  </w:p>
  <w:p w14:paraId="20FE48EA" w14:textId="77777777" w:rsidR="001565B9" w:rsidRDefault="00156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 w15:restartNumberingAfterBreak="0">
    <w:nsid w:val="55BD7693"/>
    <w:multiLevelType w:val="hybridMultilevel"/>
    <w:tmpl w:val="91140F6E"/>
    <w:lvl w:ilvl="0" w:tplc="211A5252">
      <w:start w:val="1"/>
      <w:numFmt w:val="decimal"/>
      <w:lvlText w:val="%1)"/>
      <w:lvlJc w:val="left"/>
      <w:pPr>
        <w:ind w:left="381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21"/>
    <w:rsid w:val="0009450C"/>
    <w:rsid w:val="000A1F43"/>
    <w:rsid w:val="000B5C78"/>
    <w:rsid w:val="000F09E6"/>
    <w:rsid w:val="001436BD"/>
    <w:rsid w:val="001565B9"/>
    <w:rsid w:val="001617EF"/>
    <w:rsid w:val="00192E96"/>
    <w:rsid w:val="001A2043"/>
    <w:rsid w:val="002168C5"/>
    <w:rsid w:val="00223CC5"/>
    <w:rsid w:val="002955AC"/>
    <w:rsid w:val="002A59BB"/>
    <w:rsid w:val="002B125E"/>
    <w:rsid w:val="002F0025"/>
    <w:rsid w:val="0032007A"/>
    <w:rsid w:val="0036006E"/>
    <w:rsid w:val="003754A4"/>
    <w:rsid w:val="003B375D"/>
    <w:rsid w:val="003B3DAA"/>
    <w:rsid w:val="003E2025"/>
    <w:rsid w:val="00416CA1"/>
    <w:rsid w:val="00434149"/>
    <w:rsid w:val="0047407E"/>
    <w:rsid w:val="004A4E99"/>
    <w:rsid w:val="004A5192"/>
    <w:rsid w:val="004C1EA1"/>
    <w:rsid w:val="004F562B"/>
    <w:rsid w:val="005379A5"/>
    <w:rsid w:val="00560959"/>
    <w:rsid w:val="00587600"/>
    <w:rsid w:val="005E3E6A"/>
    <w:rsid w:val="005E40B3"/>
    <w:rsid w:val="006207BA"/>
    <w:rsid w:val="00654C14"/>
    <w:rsid w:val="006962EC"/>
    <w:rsid w:val="006A0B6E"/>
    <w:rsid w:val="006A1B9F"/>
    <w:rsid w:val="00701821"/>
    <w:rsid w:val="007044ED"/>
    <w:rsid w:val="0072058D"/>
    <w:rsid w:val="00772DC2"/>
    <w:rsid w:val="00792AF0"/>
    <w:rsid w:val="007B068B"/>
    <w:rsid w:val="007C7651"/>
    <w:rsid w:val="007D3800"/>
    <w:rsid w:val="007D3927"/>
    <w:rsid w:val="00813EE5"/>
    <w:rsid w:val="00824BE4"/>
    <w:rsid w:val="00826A0B"/>
    <w:rsid w:val="00891691"/>
    <w:rsid w:val="008D059A"/>
    <w:rsid w:val="00906E48"/>
    <w:rsid w:val="00924FDC"/>
    <w:rsid w:val="009B7C6C"/>
    <w:rsid w:val="009F34DC"/>
    <w:rsid w:val="00A1556F"/>
    <w:rsid w:val="00A23C6F"/>
    <w:rsid w:val="00A332AA"/>
    <w:rsid w:val="00A6736A"/>
    <w:rsid w:val="00A86A5D"/>
    <w:rsid w:val="00AC1D2E"/>
    <w:rsid w:val="00AD4FC9"/>
    <w:rsid w:val="00B618B5"/>
    <w:rsid w:val="00BB3965"/>
    <w:rsid w:val="00BC621B"/>
    <w:rsid w:val="00BD53E1"/>
    <w:rsid w:val="00C41083"/>
    <w:rsid w:val="00CB30E3"/>
    <w:rsid w:val="00CE0CF4"/>
    <w:rsid w:val="00CF30A7"/>
    <w:rsid w:val="00D05912"/>
    <w:rsid w:val="00D8668B"/>
    <w:rsid w:val="00E02583"/>
    <w:rsid w:val="00E84BD8"/>
    <w:rsid w:val="00EA6357"/>
    <w:rsid w:val="00F549DF"/>
    <w:rsid w:val="00F6109A"/>
    <w:rsid w:val="00F746C6"/>
    <w:rsid w:val="00F9694C"/>
    <w:rsid w:val="00FB5C47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79692"/>
  <w15:chartTrackingRefBased/>
  <w15:docId w15:val="{2047D3B2-BB27-9A48-A34C-24634ED0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24FD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8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8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8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8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unhideWhenUsed/>
    <w:qFormat/>
    <w:rsid w:val="0072058D"/>
    <w:rPr>
      <w:rFonts w:asciiTheme="minorHAnsi" w:hAnsiTheme="minorHAnsi"/>
      <w:color w:val="000000" w:themeColor="text1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018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en-GB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8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GB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821"/>
    <w:rPr>
      <w:rFonts w:eastAsiaTheme="majorEastAsia" w:cstheme="majorBidi"/>
      <w:color w:val="0F4761" w:themeColor="accent1" w:themeShade="BF"/>
      <w:kern w:val="0"/>
      <w:sz w:val="28"/>
      <w:szCs w:val="28"/>
      <w:lang w:val="en-US" w:eastAsia="en-GB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821"/>
    <w:rPr>
      <w:rFonts w:eastAsiaTheme="majorEastAsia" w:cstheme="majorBidi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821"/>
    <w:rPr>
      <w:rFonts w:eastAsiaTheme="majorEastAsia" w:cstheme="majorBidi"/>
      <w:color w:val="0F4761" w:themeColor="accent1" w:themeShade="BF"/>
      <w:kern w:val="0"/>
      <w:sz w:val="22"/>
      <w:lang w:val="en-US" w:eastAsia="en-GB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821"/>
    <w:rPr>
      <w:rFonts w:eastAsiaTheme="majorEastAsia" w:cstheme="majorBidi"/>
      <w:i/>
      <w:iCs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821"/>
    <w:rPr>
      <w:rFonts w:eastAsiaTheme="majorEastAsia" w:cstheme="majorBidi"/>
      <w:color w:val="595959" w:themeColor="text1" w:themeTint="A6"/>
      <w:kern w:val="0"/>
      <w:sz w:val="22"/>
      <w:lang w:val="en-US" w:eastAsia="en-GB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821"/>
    <w:rPr>
      <w:rFonts w:eastAsiaTheme="majorEastAsia" w:cstheme="majorBidi"/>
      <w:i/>
      <w:iCs/>
      <w:color w:val="272727" w:themeColor="text1" w:themeTint="D8"/>
      <w:kern w:val="0"/>
      <w:sz w:val="22"/>
      <w:lang w:val="en-US" w:eastAsia="en-GB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821"/>
    <w:rPr>
      <w:rFonts w:eastAsiaTheme="majorEastAsia" w:cstheme="majorBidi"/>
      <w:color w:val="272727" w:themeColor="text1" w:themeTint="D8"/>
      <w:kern w:val="0"/>
      <w:sz w:val="22"/>
      <w:lang w:val="en-US" w:eastAsia="en-GB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01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82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8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8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GB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01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821"/>
    <w:rPr>
      <w:rFonts w:cs="Times New Roman"/>
      <w:i/>
      <w:iCs/>
      <w:color w:val="404040" w:themeColor="text1" w:themeTint="BF"/>
      <w:kern w:val="0"/>
      <w:sz w:val="22"/>
      <w:lang w:val="en-US" w:eastAsia="en-GB"/>
      <w14:ligatures w14:val="none"/>
    </w:rPr>
  </w:style>
  <w:style w:type="paragraph" w:styleId="Akapitzlist">
    <w:name w:val="List Paragraph"/>
    <w:basedOn w:val="Normalny"/>
    <w:uiPriority w:val="1"/>
    <w:qFormat/>
    <w:rsid w:val="007018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8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821"/>
    <w:rPr>
      <w:rFonts w:cs="Times New Roman"/>
      <w:i/>
      <w:iCs/>
      <w:color w:val="0F4761" w:themeColor="accent1" w:themeShade="BF"/>
      <w:kern w:val="0"/>
      <w:sz w:val="22"/>
      <w:lang w:val="en-US" w:eastAsia="en-GB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0182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701821"/>
  </w:style>
  <w:style w:type="paragraph" w:styleId="Tekstpodstawowy">
    <w:name w:val="Body Text"/>
    <w:basedOn w:val="Normalny"/>
    <w:link w:val="TekstpodstawowyZnak"/>
    <w:uiPriority w:val="1"/>
    <w:qFormat/>
    <w:rsid w:val="00701821"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1821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018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1821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CE0CF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CE0CF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6C6"/>
    <w:rPr>
      <w:b/>
      <w:bCs/>
    </w:rPr>
  </w:style>
  <w:style w:type="character" w:customStyle="1" w:styleId="whitespace-normal">
    <w:name w:val="whitespace-normal"/>
    <w:basedOn w:val="Domylnaczcionkaakapitu"/>
    <w:rsid w:val="00BD53E1"/>
  </w:style>
  <w:style w:type="character" w:customStyle="1" w:styleId="docsum-journal-citation">
    <w:name w:val="docsum-journal-citation"/>
    <w:basedOn w:val="Domylnaczcionkaakapitu"/>
    <w:rsid w:val="008D059A"/>
  </w:style>
  <w:style w:type="character" w:styleId="Uwydatnienie">
    <w:name w:val="Emphasis"/>
    <w:basedOn w:val="Domylnaczcionkaakapitu"/>
    <w:uiPriority w:val="20"/>
    <w:qFormat/>
    <w:rsid w:val="0089169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565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65B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65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5B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tor@umw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15314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Zemelka-Wiącek</dc:creator>
  <cp:keywords/>
  <dc:description/>
  <cp:lastModifiedBy>JTagil</cp:lastModifiedBy>
  <cp:revision>3</cp:revision>
  <cp:lastPrinted>2026-06-07T13:03:00Z</cp:lastPrinted>
  <dcterms:created xsi:type="dcterms:W3CDTF">2026-06-16T09:03:00Z</dcterms:created>
  <dcterms:modified xsi:type="dcterms:W3CDTF">2026-06-19T10:12:00Z</dcterms:modified>
</cp:coreProperties>
</file>