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1"/>
        <w:tblW w:w="9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3"/>
        <w:gridCol w:w="3262"/>
        <w:gridCol w:w="992"/>
        <w:gridCol w:w="3119"/>
        <w:gridCol w:w="1150"/>
      </w:tblGrid>
      <w:tr w:rsidR="00A47043" w:rsidRPr="00206426" w:rsidTr="00D304B5"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bookmarkStart w:id="0" w:name="_GoBack"/>
            <w:bookmarkEnd w:id="0"/>
            <w:r w:rsidRPr="00C94C19">
              <w:rPr>
                <w:szCs w:val="24"/>
              </w:rPr>
              <w:t xml:space="preserve">Nazwa </w:t>
            </w:r>
            <w:r w:rsidRPr="00C94C19">
              <w:rPr>
                <w:szCs w:val="24"/>
              </w:rPr>
              <w:br/>
              <w:t>i symbol</w:t>
            </w:r>
          </w:p>
        </w:tc>
        <w:tc>
          <w:tcPr>
            <w:tcW w:w="73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3" w:rsidRPr="00C94C19" w:rsidRDefault="00A47043" w:rsidP="00D304B5">
            <w:pPr>
              <w:pStyle w:val="Nagwek3"/>
              <w:spacing w:before="120"/>
              <w:ind w:left="176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PRACOWNIA LECZENIA OTYŁOŚCI I ZABURZEŃ ODŻYWIANIA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7043" w:rsidRPr="00206426" w:rsidRDefault="00A47043" w:rsidP="00F83B00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RK-PO</w:t>
            </w:r>
          </w:p>
        </w:tc>
      </w:tr>
      <w:tr w:rsidR="00A47043" w:rsidRPr="00206426" w:rsidTr="00F83B00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Jednostka </w:t>
            </w:r>
            <w:r w:rsidRPr="00C94C19">
              <w:rPr>
                <w:szCs w:val="24"/>
              </w:rPr>
              <w:br/>
              <w:t>nadrzędna</w:t>
            </w:r>
          </w:p>
        </w:tc>
        <w:tc>
          <w:tcPr>
            <w:tcW w:w="42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47043" w:rsidRPr="00206426" w:rsidRDefault="00A47043" w:rsidP="00F83B00">
            <w:pPr>
              <w:rPr>
                <w:szCs w:val="24"/>
              </w:rPr>
            </w:pPr>
            <w:r w:rsidRPr="00206426">
              <w:rPr>
                <w:szCs w:val="24"/>
              </w:rPr>
              <w:t>Podległość merytoryczna</w:t>
            </w:r>
          </w:p>
        </w:tc>
      </w:tr>
      <w:tr w:rsidR="00A47043" w:rsidRPr="00206426" w:rsidTr="00F83B00">
        <w:trPr>
          <w:trHeight w:val="376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>
              <w:t xml:space="preserve">Prorektor ds. Klinicznych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206426" w:rsidRDefault="00A47043" w:rsidP="00F83B00">
            <w:pPr>
              <w:rPr>
                <w:szCs w:val="24"/>
              </w:rPr>
            </w:pPr>
            <w:r>
              <w:rPr>
                <w:szCs w:val="24"/>
              </w:rPr>
              <w:t>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206426" w:rsidRDefault="00A47043" w:rsidP="00F83B00">
            <w:pPr>
              <w:rPr>
                <w:szCs w:val="24"/>
              </w:rPr>
            </w:pPr>
            <w:r>
              <w:rPr>
                <w:szCs w:val="24"/>
              </w:rPr>
              <w:t>Prorektor ds. Klinicznych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7043" w:rsidRPr="00206426" w:rsidRDefault="00A47043" w:rsidP="00F83B00">
            <w:pPr>
              <w:rPr>
                <w:szCs w:val="24"/>
              </w:rPr>
            </w:pPr>
            <w:r w:rsidRPr="00206426">
              <w:rPr>
                <w:szCs w:val="24"/>
              </w:rPr>
              <w:t>R</w:t>
            </w:r>
            <w:r>
              <w:rPr>
                <w:szCs w:val="24"/>
              </w:rPr>
              <w:t>K</w:t>
            </w:r>
          </w:p>
        </w:tc>
      </w:tr>
      <w:tr w:rsidR="00A47043" w:rsidRPr="00C94C19" w:rsidTr="00F83B00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Jednostki </w:t>
            </w:r>
            <w:r w:rsidRPr="00C94C19">
              <w:rPr>
                <w:szCs w:val="24"/>
              </w:rPr>
              <w:br/>
              <w:t>podległe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formalna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>Podległość merytoryczna</w:t>
            </w:r>
          </w:p>
        </w:tc>
      </w:tr>
      <w:tr w:rsidR="00A47043" w:rsidRPr="00C94C19" w:rsidTr="00F83B00">
        <w:trPr>
          <w:trHeight w:val="319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</w:tr>
      <w:tr w:rsidR="00A47043" w:rsidRPr="00C94C19" w:rsidTr="00F83B00">
        <w:tc>
          <w:tcPr>
            <w:tcW w:w="976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A47043" w:rsidRPr="00C94C19" w:rsidRDefault="00A47043" w:rsidP="00F83B00">
            <w:pPr>
              <w:rPr>
                <w:szCs w:val="24"/>
              </w:rPr>
            </w:pPr>
          </w:p>
        </w:tc>
      </w:tr>
      <w:tr w:rsidR="00A47043" w:rsidRPr="00C94C19" w:rsidTr="00F83B00">
        <w:trPr>
          <w:trHeight w:val="309"/>
        </w:trPr>
        <w:tc>
          <w:tcPr>
            <w:tcW w:w="976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47043" w:rsidRPr="00C94C19" w:rsidRDefault="00A47043" w:rsidP="00F83B00">
            <w:pPr>
              <w:spacing w:line="276" w:lineRule="auto"/>
              <w:rPr>
                <w:szCs w:val="24"/>
              </w:rPr>
            </w:pPr>
          </w:p>
          <w:p w:rsidR="00A47043" w:rsidRPr="00C94C19" w:rsidRDefault="00A47043" w:rsidP="00F83B00">
            <w:pPr>
              <w:spacing w:line="276" w:lineRule="auto"/>
              <w:rPr>
                <w:szCs w:val="24"/>
              </w:rPr>
            </w:pPr>
            <w:r w:rsidRPr="00C94C19">
              <w:rPr>
                <w:szCs w:val="24"/>
              </w:rPr>
              <w:t xml:space="preserve">Cel działalności </w:t>
            </w:r>
          </w:p>
        </w:tc>
      </w:tr>
      <w:tr w:rsidR="00A47043" w:rsidRPr="00C94C19" w:rsidTr="00F83B00">
        <w:trPr>
          <w:trHeight w:val="1203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7043" w:rsidRPr="00C94C19" w:rsidRDefault="006C3374" w:rsidP="006C3374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rPr>
                <w:color w:val="auto"/>
                <w:szCs w:val="24"/>
              </w:rPr>
            </w:pPr>
            <w:r w:rsidRPr="006C3374">
              <w:rPr>
                <w:color w:val="auto"/>
                <w:szCs w:val="24"/>
              </w:rPr>
              <w:t>Stworzenie ośrodka badań naukowych i innowacji wdrożeniowych dotyczących profilaktyki i leczenia otyłości oraz zaburzeń odżywiania u dzieci i młodzieży.</w:t>
            </w:r>
          </w:p>
        </w:tc>
      </w:tr>
      <w:tr w:rsidR="00A47043" w:rsidRPr="00C94C19" w:rsidTr="00F83B00">
        <w:trPr>
          <w:trHeight w:val="279"/>
        </w:trPr>
        <w:tc>
          <w:tcPr>
            <w:tcW w:w="976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47043" w:rsidRPr="00C94C19" w:rsidRDefault="00A47043" w:rsidP="00F83B00">
            <w:pPr>
              <w:rPr>
                <w:szCs w:val="24"/>
              </w:rPr>
            </w:pPr>
            <w:r w:rsidRPr="00C94C19">
              <w:rPr>
                <w:szCs w:val="24"/>
              </w:rPr>
              <w:t>Kluczowe zadania</w:t>
            </w:r>
          </w:p>
        </w:tc>
      </w:tr>
      <w:tr w:rsidR="00A47043" w:rsidRPr="00C94C19" w:rsidTr="00F83B00">
        <w:trPr>
          <w:trHeight w:val="5632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374" w:rsidRPr="006C3374" w:rsidRDefault="006C3374" w:rsidP="006C3374">
            <w:pPr>
              <w:spacing w:before="240" w:after="120"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b/>
                <w:bCs/>
                <w:szCs w:val="24"/>
              </w:rPr>
              <w:t>I. Obszary badawcze i naukowo-wdrożeniowe</w:t>
            </w:r>
          </w:p>
          <w:p w:rsidR="006C3374" w:rsidRPr="006C3374" w:rsidRDefault="006C3374" w:rsidP="006C3374">
            <w:pPr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b/>
                <w:bCs/>
                <w:szCs w:val="24"/>
              </w:rPr>
              <w:t>1. Badania podstawowe:</w:t>
            </w:r>
          </w:p>
          <w:p w:rsidR="006C3374" w:rsidRPr="006C3374" w:rsidRDefault="006C3374" w:rsidP="006C3374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Molekularne mechanizmy rozwoju otyłości i zaburzeń odżywiania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Genetyczne i epigenetyczne determinanty zaburzeń metabolicznych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 xml:space="preserve">Rola </w:t>
            </w:r>
            <w:proofErr w:type="spellStart"/>
            <w:r w:rsidRPr="006C3374">
              <w:rPr>
                <w:rFonts w:eastAsia="Calibri"/>
                <w:color w:val="000000"/>
                <w:szCs w:val="24"/>
              </w:rPr>
              <w:t>mikrobioty</w:t>
            </w:r>
            <w:proofErr w:type="spellEnd"/>
            <w:r w:rsidRPr="006C3374">
              <w:rPr>
                <w:rFonts w:eastAsia="Calibri"/>
                <w:color w:val="000000"/>
                <w:szCs w:val="24"/>
              </w:rPr>
              <w:t xml:space="preserve"> jamy ustnej</w:t>
            </w:r>
            <w:r w:rsidRPr="006C3374">
              <w:rPr>
                <w:rFonts w:eastAsia="Calibri"/>
                <w:color w:val="FF0000"/>
                <w:szCs w:val="24"/>
              </w:rPr>
              <w:t xml:space="preserve"> </w:t>
            </w:r>
            <w:r w:rsidRPr="006C3374">
              <w:rPr>
                <w:rFonts w:eastAsia="Calibri"/>
                <w:szCs w:val="24"/>
              </w:rPr>
              <w:t xml:space="preserve">i </w:t>
            </w:r>
            <w:proofErr w:type="spellStart"/>
            <w:r w:rsidRPr="006C3374">
              <w:rPr>
                <w:rFonts w:eastAsia="Calibri"/>
                <w:szCs w:val="24"/>
              </w:rPr>
              <w:t>mikrobioty</w:t>
            </w:r>
            <w:proofErr w:type="spellEnd"/>
            <w:r w:rsidRPr="006C3374">
              <w:rPr>
                <w:rFonts w:eastAsia="Calibri"/>
                <w:szCs w:val="24"/>
              </w:rPr>
              <w:t xml:space="preserve"> jelitowej w patogenezie otyłości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Wpływ leków stosowanych w farmakoterapii otyłości na układ immunologiczny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1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Neuroendokrynne mechanizmy regulacji apetytu i sytości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1E6218">
            <w:pPr>
              <w:numPr>
                <w:ilvl w:val="0"/>
                <w:numId w:val="11"/>
              </w:numPr>
              <w:suppressAutoHyphens/>
              <w:spacing w:after="120" w:line="276" w:lineRule="auto"/>
              <w:ind w:left="714" w:hanging="357"/>
              <w:rPr>
                <w:rFonts w:eastAsia="Calibri"/>
                <w:szCs w:val="24"/>
              </w:rPr>
            </w:pPr>
            <w:proofErr w:type="spellStart"/>
            <w:r w:rsidRPr="006C3374">
              <w:rPr>
                <w:rFonts w:eastAsia="Calibri"/>
                <w:szCs w:val="24"/>
              </w:rPr>
              <w:t>Biomarkery</w:t>
            </w:r>
            <w:proofErr w:type="spellEnd"/>
            <w:r w:rsidRPr="006C3374">
              <w:rPr>
                <w:rFonts w:eastAsia="Calibri"/>
                <w:szCs w:val="24"/>
              </w:rPr>
              <w:t xml:space="preserve"> diagnostyczne i prognostyczne</w:t>
            </w:r>
            <w:r w:rsidR="009C3248">
              <w:rPr>
                <w:rFonts w:eastAsia="Calibri"/>
                <w:szCs w:val="24"/>
              </w:rPr>
              <w:t>.</w:t>
            </w:r>
          </w:p>
          <w:p w:rsidR="006C3374" w:rsidRPr="006C3374" w:rsidRDefault="006C3374" w:rsidP="006C3374">
            <w:pPr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b/>
                <w:bCs/>
                <w:szCs w:val="24"/>
              </w:rPr>
              <w:t>2. Badania kliniczne:</w:t>
            </w:r>
          </w:p>
          <w:p w:rsidR="006C3374" w:rsidRPr="006C3374" w:rsidRDefault="006C3374" w:rsidP="006C3374">
            <w:pPr>
              <w:numPr>
                <w:ilvl w:val="0"/>
                <w:numId w:val="12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Ocena skuteczności interwencji żywieniowych, behawioralnych i farmakologicznych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2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Badania nad długoterminowymi skutkami interwencji terapeutycznych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2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 xml:space="preserve">Analiza czynników ryzyka i </w:t>
            </w:r>
            <w:proofErr w:type="spellStart"/>
            <w:r w:rsidRPr="006C3374">
              <w:rPr>
                <w:rFonts w:eastAsia="Calibri"/>
                <w:szCs w:val="24"/>
              </w:rPr>
              <w:t>predyktorów</w:t>
            </w:r>
            <w:proofErr w:type="spellEnd"/>
            <w:r w:rsidRPr="006C3374">
              <w:rPr>
                <w:rFonts w:eastAsia="Calibri"/>
                <w:szCs w:val="24"/>
              </w:rPr>
              <w:t xml:space="preserve"> powodzenia terapii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2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 xml:space="preserve">Badania </w:t>
            </w:r>
            <w:proofErr w:type="spellStart"/>
            <w:r w:rsidRPr="006C3374">
              <w:rPr>
                <w:rFonts w:eastAsia="Calibri"/>
                <w:szCs w:val="24"/>
              </w:rPr>
              <w:t>kohortowe</w:t>
            </w:r>
            <w:proofErr w:type="spellEnd"/>
            <w:r w:rsidRPr="006C3374">
              <w:rPr>
                <w:rFonts w:eastAsia="Calibri"/>
                <w:szCs w:val="24"/>
              </w:rPr>
              <w:t xml:space="preserve"> populacji pediatrycznych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2"/>
              </w:numPr>
              <w:suppressAutoHyphens/>
              <w:spacing w:line="276" w:lineRule="auto"/>
              <w:rPr>
                <w:color w:val="000000"/>
                <w:szCs w:val="24"/>
              </w:rPr>
            </w:pPr>
            <w:r w:rsidRPr="006C3374">
              <w:rPr>
                <w:rFonts w:eastAsia="Calibri"/>
                <w:color w:val="000000"/>
                <w:szCs w:val="24"/>
              </w:rPr>
              <w:t>Badania nad narządowymi powikłaniami otyłości i zaburzeń odżywiania, ich wczesnymi markerami, przydatnymi w monitorowaniu efektywności terapii</w:t>
            </w:r>
            <w:r w:rsidR="009C3248">
              <w:rPr>
                <w:rFonts w:eastAsia="Calibri"/>
                <w:color w:val="000000"/>
                <w:szCs w:val="24"/>
              </w:rPr>
              <w:t>,</w:t>
            </w:r>
          </w:p>
          <w:p w:rsidR="006C3374" w:rsidRPr="006C3374" w:rsidRDefault="006C3374" w:rsidP="001E6218">
            <w:pPr>
              <w:numPr>
                <w:ilvl w:val="0"/>
                <w:numId w:val="12"/>
              </w:numPr>
              <w:suppressAutoHyphens/>
              <w:spacing w:after="120" w:line="276" w:lineRule="auto"/>
              <w:ind w:left="714" w:hanging="357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color w:val="000000"/>
                <w:szCs w:val="24"/>
              </w:rPr>
              <w:t>Rozwój nowych i ewaluacja istniejących</w:t>
            </w:r>
            <w:r w:rsidRPr="006C3374">
              <w:rPr>
                <w:rFonts w:eastAsia="Calibri"/>
                <w:color w:val="FF0000"/>
                <w:szCs w:val="24"/>
              </w:rPr>
              <w:t xml:space="preserve"> </w:t>
            </w:r>
            <w:r w:rsidRPr="006C3374">
              <w:rPr>
                <w:rFonts w:eastAsia="Calibri"/>
                <w:szCs w:val="24"/>
              </w:rPr>
              <w:t>programów profilaktycznych</w:t>
            </w:r>
            <w:r w:rsidR="001E6218">
              <w:rPr>
                <w:rFonts w:eastAsia="Calibri"/>
                <w:szCs w:val="24"/>
              </w:rPr>
              <w:t>.</w:t>
            </w:r>
          </w:p>
          <w:p w:rsidR="006C3374" w:rsidRPr="006C3374" w:rsidRDefault="006C3374" w:rsidP="006C3374">
            <w:pPr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b/>
                <w:bCs/>
                <w:szCs w:val="24"/>
              </w:rPr>
              <w:t>3. Projekty wdrożeniowe:</w:t>
            </w:r>
          </w:p>
          <w:p w:rsidR="006C3374" w:rsidRPr="006C3374" w:rsidRDefault="006C3374" w:rsidP="006C3374">
            <w:pPr>
              <w:numPr>
                <w:ilvl w:val="0"/>
                <w:numId w:val="13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Opracowywanie i walidacja narzędzi diagnostycznych (aplikacje mobilne, systemy monitoringu)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3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Wdrażanie technologii AI w diagnostyce i personalizacji terapii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3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Tworzenie platform e-zdrowia dla pacjentów i rodzin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6C3374">
            <w:pPr>
              <w:numPr>
                <w:ilvl w:val="0"/>
                <w:numId w:val="13"/>
              </w:numPr>
              <w:suppressAutoHyphens/>
              <w:spacing w:line="276" w:lineRule="auto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Pilotażowe programy profilaktyczne i terapeutyczne</w:t>
            </w:r>
            <w:r w:rsidR="009C3248">
              <w:rPr>
                <w:rFonts w:eastAsia="Calibri"/>
                <w:szCs w:val="24"/>
              </w:rPr>
              <w:t>,</w:t>
            </w:r>
          </w:p>
          <w:p w:rsidR="006C3374" w:rsidRPr="006C3374" w:rsidRDefault="006C3374" w:rsidP="001E6218">
            <w:pPr>
              <w:numPr>
                <w:ilvl w:val="0"/>
                <w:numId w:val="13"/>
              </w:numPr>
              <w:suppressAutoHyphens/>
              <w:spacing w:line="276" w:lineRule="auto"/>
              <w:ind w:left="714" w:hanging="357"/>
              <w:rPr>
                <w:rFonts w:eastAsia="Calibri"/>
                <w:szCs w:val="24"/>
              </w:rPr>
            </w:pPr>
            <w:r w:rsidRPr="006C3374">
              <w:rPr>
                <w:rFonts w:eastAsia="Calibri"/>
                <w:szCs w:val="24"/>
              </w:rPr>
              <w:t>Transfer wyników badań do praktyki klinicznej</w:t>
            </w:r>
            <w:r w:rsidR="001E6218">
              <w:rPr>
                <w:rFonts w:eastAsia="Calibri"/>
                <w:szCs w:val="24"/>
              </w:rPr>
              <w:t>.</w:t>
            </w:r>
          </w:p>
          <w:p w:rsidR="006C3374" w:rsidRPr="006C3374" w:rsidRDefault="006C3374" w:rsidP="001E6218">
            <w:pPr>
              <w:pStyle w:val="Nagwek2"/>
              <w:spacing w:before="120" w:line="276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docs-internal-guid-22c17443-7fff-a9fc-19"/>
            <w:bookmarkEnd w:id="1"/>
            <w:r w:rsidRPr="006C33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II. Zadania w zakresie współpracy i umiędzynarodowienia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 xml:space="preserve">Udział w konsorcjach badawczych finansowanych ze środków NCN, </w:t>
            </w:r>
            <w:proofErr w:type="spellStart"/>
            <w:r w:rsidRPr="006C3374">
              <w:rPr>
                <w:rFonts w:eastAsia="Calibri"/>
                <w:bCs/>
                <w:color w:val="000000"/>
                <w:szCs w:val="24"/>
              </w:rPr>
              <w:t>NCBiR</w:t>
            </w:r>
            <w:proofErr w:type="spellEnd"/>
            <w:r w:rsidRPr="006C3374">
              <w:rPr>
                <w:rFonts w:eastAsia="Calibri"/>
                <w:bCs/>
                <w:color w:val="000000"/>
                <w:szCs w:val="24"/>
              </w:rPr>
              <w:t>, Horizon Europe oraz innych programów krajowych i międzynarodowych.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lastRenderedPageBreak/>
              <w:t>Nawiązywanie i utrzymywanie współpracy z ośrodkami akademickimi w Europie i USA, w tym wspólne projekty, publikacje i wymiana kadry oraz studentów.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Uczestnictwo w sieciach naukowych związanych z problematyką otyłości i zaburzeń odżywiania.</w:t>
            </w:r>
          </w:p>
          <w:p w:rsidR="006C3374" w:rsidRPr="006C3374" w:rsidRDefault="006C3374" w:rsidP="001E6218">
            <w:pPr>
              <w:pStyle w:val="Tekstpodstawowy"/>
              <w:numPr>
                <w:ilvl w:val="0"/>
                <w:numId w:val="14"/>
              </w:numPr>
              <w:tabs>
                <w:tab w:val="left" w:pos="0"/>
              </w:tabs>
              <w:spacing w:after="120"/>
              <w:ind w:hanging="284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 xml:space="preserve">Rozwój współpracy z otoczeniem społeczno-gospodarczym, w tym samorządami, organizacjami pozarządowymi oraz sektorem medycznym i </w:t>
            </w:r>
            <w:proofErr w:type="spellStart"/>
            <w:r w:rsidRPr="006C3374">
              <w:rPr>
                <w:rFonts w:eastAsia="Calibri"/>
                <w:bCs/>
                <w:color w:val="000000"/>
                <w:szCs w:val="24"/>
              </w:rPr>
              <w:t>med-tech</w:t>
            </w:r>
            <w:proofErr w:type="spellEnd"/>
            <w:r w:rsidRPr="006C3374">
              <w:rPr>
                <w:rFonts w:eastAsia="Calibri"/>
                <w:bCs/>
                <w:color w:val="000000"/>
                <w:szCs w:val="24"/>
              </w:rPr>
              <w:t>.</w:t>
            </w:r>
          </w:p>
          <w:p w:rsidR="006C3374" w:rsidRPr="006C3374" w:rsidRDefault="006C3374" w:rsidP="006C3374">
            <w:pPr>
              <w:pStyle w:val="Nagwek2"/>
              <w:spacing w:before="0" w:line="276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33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III. Zadania organizacyjne i zarządcze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Zapewnienie funkcjonowania interdyscyplinarnego zespołu specjalistów oraz spójności działań badawczych, klinicznych i wdrożeniowych.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Koordynacja zespołów tematycznych realizujących projekty w poszczególnych obszarach badawczych oraz nadzór nad zgodnością działań z misją i strategią Uczelni.</w:t>
            </w:r>
          </w:p>
          <w:p w:rsidR="006C3374" w:rsidRPr="006C3374" w:rsidRDefault="006C3374" w:rsidP="001E6218">
            <w:pPr>
              <w:pStyle w:val="Tekstpodstawowy"/>
              <w:numPr>
                <w:ilvl w:val="0"/>
                <w:numId w:val="15"/>
              </w:numPr>
              <w:tabs>
                <w:tab w:val="left" w:pos="0"/>
              </w:tabs>
              <w:spacing w:after="120"/>
              <w:ind w:hanging="284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 xml:space="preserve">Przygotowywanie, realizacja i rozliczanie projektów badawczych i wdrożeniowych, w tym budżetowanie, raportowanie i nadzór nad zgodnością z wymogami </w:t>
            </w:r>
            <w:proofErr w:type="spellStart"/>
            <w:r w:rsidRPr="006C3374">
              <w:rPr>
                <w:rFonts w:eastAsia="Calibri"/>
                <w:bCs/>
                <w:color w:val="000000"/>
                <w:szCs w:val="24"/>
              </w:rPr>
              <w:t>grantodawców</w:t>
            </w:r>
            <w:proofErr w:type="spellEnd"/>
            <w:r w:rsidRPr="006C3374">
              <w:rPr>
                <w:rFonts w:eastAsia="Calibri"/>
                <w:bCs/>
                <w:color w:val="000000"/>
                <w:szCs w:val="24"/>
              </w:rPr>
              <w:t>.</w:t>
            </w:r>
          </w:p>
          <w:p w:rsidR="006C3374" w:rsidRPr="006C3374" w:rsidRDefault="006C3374" w:rsidP="006C3374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33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IV. Zadania związane ze współpracą z USK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6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Współpraca z Ośrodkiem Leczenia Otyłości i Zaburzeń Odżywiania w strukturze USK, obejmująca transfer wyników badań do praktyki klinicznej oraz planowanie wspólnych projektów klinicznych.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6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Wsparcie Ośrodka w zakresie projektowania i prowadzenia badań obserwacyjnych i interwencyjnych, w tym wykorzystania danych klinicznych do analiz naukowych.</w:t>
            </w:r>
          </w:p>
          <w:p w:rsidR="006C3374" w:rsidRPr="006C3374" w:rsidRDefault="006C3374" w:rsidP="001E6218">
            <w:pPr>
              <w:pStyle w:val="Tekstpodstawowy"/>
              <w:numPr>
                <w:ilvl w:val="0"/>
                <w:numId w:val="16"/>
              </w:numPr>
              <w:tabs>
                <w:tab w:val="left" w:pos="0"/>
              </w:tabs>
              <w:spacing w:after="120"/>
              <w:ind w:hanging="284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Udział w rekrutacji pacjentów do badań klinicznych, z zachowaniem wymogów etycznych i prawnych, oraz walidacja nowych narzędzi diagnostycznych i terapeutycznych w warunkach klinicznych.</w:t>
            </w:r>
          </w:p>
          <w:p w:rsidR="006C3374" w:rsidRPr="006C3374" w:rsidRDefault="006C3374" w:rsidP="006C3374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33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V. Pozostałe zadania Pracowni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Generowanie publikacji naukowych, wzrost aktywności grantowej i rozwój potencjału badawczego Uczelni.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Tworzenie i wdrażanie innowacyjnych rozwiązań diagnostycznych, terapeutycznych i edukacyjnych.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pacing w:after="0"/>
              <w:rPr>
                <w:bCs/>
                <w:color w:val="000000"/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 xml:space="preserve">Rozwój ścieżek kariery naukowej i dydaktycznej członków zespołu, w tym doktoratów, habilitacji, staży i programów </w:t>
            </w:r>
            <w:proofErr w:type="spellStart"/>
            <w:r w:rsidRPr="006C3374">
              <w:rPr>
                <w:rFonts w:eastAsia="Calibri"/>
                <w:bCs/>
                <w:color w:val="000000"/>
                <w:szCs w:val="24"/>
              </w:rPr>
              <w:t>mentoringowych</w:t>
            </w:r>
            <w:proofErr w:type="spellEnd"/>
            <w:r w:rsidRPr="006C3374">
              <w:rPr>
                <w:rFonts w:eastAsia="Calibri"/>
                <w:bCs/>
                <w:color w:val="000000"/>
                <w:szCs w:val="24"/>
              </w:rPr>
              <w:t>.</w:t>
            </w:r>
          </w:p>
          <w:p w:rsidR="006C3374" w:rsidRPr="006C3374" w:rsidRDefault="006C3374" w:rsidP="009C3248">
            <w:pPr>
              <w:pStyle w:val="Tekstpodstawowy"/>
              <w:numPr>
                <w:ilvl w:val="0"/>
                <w:numId w:val="17"/>
              </w:numPr>
              <w:tabs>
                <w:tab w:val="left" w:pos="0"/>
              </w:tabs>
              <w:spacing w:after="240"/>
              <w:rPr>
                <w:szCs w:val="24"/>
              </w:rPr>
            </w:pPr>
            <w:r w:rsidRPr="006C3374">
              <w:rPr>
                <w:rFonts w:eastAsia="Calibri"/>
                <w:bCs/>
                <w:color w:val="000000"/>
                <w:szCs w:val="24"/>
              </w:rPr>
              <w:t>Wzmocnienie pozycji UMW jako rozpoznawalnego ośrodka badań i innowacji w obszarze otyłości i zaburzeń odżywiania u dzieci i młodzieży</w:t>
            </w:r>
            <w:r w:rsidR="009C3248">
              <w:rPr>
                <w:rFonts w:eastAsia="Calibri"/>
                <w:bCs/>
                <w:color w:val="000000"/>
                <w:szCs w:val="24"/>
              </w:rPr>
              <w:t>.</w:t>
            </w:r>
          </w:p>
          <w:p w:rsidR="00A47043" w:rsidRPr="006C3374" w:rsidRDefault="00A47043" w:rsidP="006C3374">
            <w:pPr>
              <w:pStyle w:val="normalny-odst"/>
              <w:tabs>
                <w:tab w:val="left" w:pos="142"/>
                <w:tab w:val="left" w:pos="1560"/>
              </w:tabs>
              <w:spacing w:line="276" w:lineRule="auto"/>
              <w:ind w:left="360"/>
            </w:pPr>
          </w:p>
        </w:tc>
      </w:tr>
    </w:tbl>
    <w:p w:rsidR="0024714F" w:rsidRDefault="0024714F"/>
    <w:sectPr w:rsidR="0024714F" w:rsidSect="00F73EE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E7" w:rsidRDefault="00B20FE7" w:rsidP="00A47043">
      <w:r>
        <w:separator/>
      </w:r>
    </w:p>
  </w:endnote>
  <w:endnote w:type="continuationSeparator" w:id="0">
    <w:p w:rsidR="00B20FE7" w:rsidRDefault="00B20FE7" w:rsidP="00A4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E7" w:rsidRDefault="00B20FE7" w:rsidP="00A47043">
      <w:r>
        <w:separator/>
      </w:r>
    </w:p>
  </w:footnote>
  <w:footnote w:type="continuationSeparator" w:id="0">
    <w:p w:rsidR="00B20FE7" w:rsidRDefault="00B20FE7" w:rsidP="00A4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EB" w:rsidRPr="00F73EEB" w:rsidRDefault="00F73EEB" w:rsidP="00F73EEB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F73EEB">
      <w:rPr>
        <w:rFonts w:asciiTheme="minorHAnsi" w:hAnsiTheme="minorHAnsi" w:cstheme="minorHAnsi"/>
        <w:sz w:val="20"/>
        <w:szCs w:val="20"/>
      </w:rPr>
      <w:t xml:space="preserve">Załącznik do zarządzenia nr </w:t>
    </w:r>
    <w:r w:rsidR="00EE0A93">
      <w:rPr>
        <w:rFonts w:asciiTheme="minorHAnsi" w:hAnsiTheme="minorHAnsi" w:cstheme="minorHAnsi"/>
        <w:sz w:val="20"/>
        <w:szCs w:val="20"/>
      </w:rPr>
      <w:t>108</w:t>
    </w:r>
    <w:r w:rsidRPr="00F73EEB">
      <w:rPr>
        <w:rFonts w:asciiTheme="minorHAnsi" w:hAnsiTheme="minorHAnsi" w:cstheme="minorHAnsi"/>
        <w:sz w:val="20"/>
        <w:szCs w:val="20"/>
      </w:rPr>
      <w:t>/XVI R/2</w:t>
    </w:r>
    <w:r>
      <w:rPr>
        <w:rFonts w:asciiTheme="minorHAnsi" w:hAnsiTheme="minorHAnsi" w:cstheme="minorHAnsi"/>
        <w:sz w:val="20"/>
        <w:szCs w:val="20"/>
      </w:rPr>
      <w:t>0</w:t>
    </w:r>
    <w:r w:rsidRPr="00F73EEB">
      <w:rPr>
        <w:rFonts w:asciiTheme="minorHAnsi" w:hAnsiTheme="minorHAnsi" w:cstheme="minorHAnsi"/>
        <w:sz w:val="20"/>
        <w:szCs w:val="20"/>
      </w:rPr>
      <w:t>26</w:t>
    </w:r>
  </w:p>
  <w:p w:rsidR="00F73EEB" w:rsidRPr="00F73EEB" w:rsidRDefault="00F73EEB" w:rsidP="00F73EEB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F73EEB">
      <w:rPr>
        <w:rFonts w:asciiTheme="minorHAnsi" w:hAnsiTheme="minorHAnsi" w:cstheme="minorHAnsi"/>
        <w:sz w:val="20"/>
        <w:szCs w:val="20"/>
      </w:rPr>
      <w:t>Rektora Uniwersytetu Medycznego we Wrocławiu</w:t>
    </w:r>
  </w:p>
  <w:p w:rsidR="00F73EEB" w:rsidRPr="00F73EEB" w:rsidRDefault="00F73EEB" w:rsidP="00F73EEB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F73EEB">
      <w:rPr>
        <w:rFonts w:asciiTheme="minorHAnsi" w:hAnsiTheme="minorHAnsi" w:cstheme="minorHAnsi"/>
        <w:sz w:val="20"/>
        <w:szCs w:val="20"/>
      </w:rPr>
      <w:t xml:space="preserve"> z dnia </w:t>
    </w:r>
    <w:r w:rsidR="00EE0A93">
      <w:rPr>
        <w:rFonts w:asciiTheme="minorHAnsi" w:hAnsiTheme="minorHAnsi" w:cstheme="minorHAnsi"/>
        <w:sz w:val="20"/>
        <w:szCs w:val="20"/>
      </w:rPr>
      <w:t>1 lipca</w:t>
    </w:r>
    <w:r w:rsidRPr="00F73EEB">
      <w:rPr>
        <w:rFonts w:asciiTheme="minorHAnsi" w:hAnsiTheme="minorHAnsi" w:cstheme="minorHAnsi"/>
        <w:sz w:val="20"/>
        <w:szCs w:val="20"/>
      </w:rPr>
      <w:t xml:space="preserve">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34F"/>
    <w:multiLevelType w:val="hybridMultilevel"/>
    <w:tmpl w:val="BE3C9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611F9"/>
    <w:multiLevelType w:val="multilevel"/>
    <w:tmpl w:val="840899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0384A74"/>
    <w:multiLevelType w:val="multilevel"/>
    <w:tmpl w:val="022806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0407A70"/>
    <w:multiLevelType w:val="multilevel"/>
    <w:tmpl w:val="E2F69C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1BD68EA"/>
    <w:multiLevelType w:val="multilevel"/>
    <w:tmpl w:val="2FECEDCA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62324BE"/>
    <w:multiLevelType w:val="multilevel"/>
    <w:tmpl w:val="B06C8B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38CC2A38"/>
    <w:multiLevelType w:val="hybridMultilevel"/>
    <w:tmpl w:val="BF70D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57AD4"/>
    <w:multiLevelType w:val="multilevel"/>
    <w:tmpl w:val="CAEAF13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AE34D4A"/>
    <w:multiLevelType w:val="multilevel"/>
    <w:tmpl w:val="ADB2F0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41134451"/>
    <w:multiLevelType w:val="multilevel"/>
    <w:tmpl w:val="23EA0E2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6AF59C6"/>
    <w:multiLevelType w:val="multilevel"/>
    <w:tmpl w:val="8B7232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4EE57548"/>
    <w:multiLevelType w:val="multilevel"/>
    <w:tmpl w:val="34202CB0"/>
    <w:lvl w:ilvl="0">
      <w:start w:val="1"/>
      <w:numFmt w:val="decimal"/>
      <w:lvlText w:val="•"/>
      <w:lvlJc w:val="left"/>
      <w:pPr>
        <w:tabs>
          <w:tab w:val="num" w:pos="0"/>
        </w:tabs>
        <w:ind w:left="720" w:hanging="360"/>
      </w:pPr>
      <w:rPr>
        <w:rFonts w:ascii="Calibri" w:eastAsia="Georgia" w:hAnsi="Calibri" w:cs="Georgia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531B6976"/>
    <w:multiLevelType w:val="multilevel"/>
    <w:tmpl w:val="23605CAE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E471C1D"/>
    <w:multiLevelType w:val="multilevel"/>
    <w:tmpl w:val="830A849C"/>
    <w:lvl w:ilvl="0">
      <w:start w:val="1"/>
      <w:numFmt w:val="decimal"/>
      <w:lvlText w:val="•"/>
      <w:lvlJc w:val="left"/>
      <w:pPr>
        <w:tabs>
          <w:tab w:val="num" w:pos="0"/>
        </w:tabs>
        <w:ind w:left="720" w:hanging="360"/>
      </w:pPr>
      <w:rPr>
        <w:rFonts w:ascii="Calibri" w:eastAsia="Georgia" w:hAnsi="Calibri" w:cs="Georgia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6C1C3194"/>
    <w:multiLevelType w:val="multilevel"/>
    <w:tmpl w:val="825EB872"/>
    <w:lvl w:ilvl="0">
      <w:start w:val="1"/>
      <w:numFmt w:val="decimal"/>
      <w:lvlText w:val="•"/>
      <w:lvlJc w:val="left"/>
      <w:pPr>
        <w:tabs>
          <w:tab w:val="num" w:pos="0"/>
        </w:tabs>
        <w:ind w:left="720" w:hanging="360"/>
      </w:pPr>
      <w:rPr>
        <w:rFonts w:ascii="Calibri" w:eastAsia="Georgia" w:hAnsi="Calibri" w:cs="Georgia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786B7493"/>
    <w:multiLevelType w:val="multilevel"/>
    <w:tmpl w:val="171E5E3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1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43"/>
    <w:rsid w:val="000C5B4A"/>
    <w:rsid w:val="001E6218"/>
    <w:rsid w:val="0024714F"/>
    <w:rsid w:val="002C027D"/>
    <w:rsid w:val="006C3374"/>
    <w:rsid w:val="009C3248"/>
    <w:rsid w:val="00A47043"/>
    <w:rsid w:val="00B20FE7"/>
    <w:rsid w:val="00BE3587"/>
    <w:rsid w:val="00D304B5"/>
    <w:rsid w:val="00EE0A93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8572-DB4C-4189-B319-182ECF81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4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7043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47043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A470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04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47043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uiPriority w:val="99"/>
    <w:semiHidden/>
    <w:unhideWhenUsed/>
    <w:rsid w:val="00A47043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59"/>
    <w:rsid w:val="00A4704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-odst">
    <w:name w:val="normalny-odst"/>
    <w:basedOn w:val="Normalny"/>
    <w:rsid w:val="00A4704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4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3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6C3374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C3374"/>
    <w:rPr>
      <w:rFonts w:ascii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73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EEB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73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EE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108/XVI R/2026</dc:title>
  <dc:subject/>
  <dc:creator>AOrzechowska</dc:creator>
  <cp:keywords>struktura</cp:keywords>
  <dc:description/>
  <cp:lastModifiedBy>MKapera</cp:lastModifiedBy>
  <cp:revision>8</cp:revision>
  <dcterms:created xsi:type="dcterms:W3CDTF">2026-06-18T08:58:00Z</dcterms:created>
  <dcterms:modified xsi:type="dcterms:W3CDTF">2026-07-01T12:37:00Z</dcterms:modified>
</cp:coreProperties>
</file>