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383" w:rsidRDefault="006C6383" w:rsidP="006C6383">
      <w:pPr>
        <w:jc w:val="center"/>
        <w:rPr>
          <w:rFonts w:ascii="Book Antiqua" w:eastAsia="Times New Roman" w:hAnsi="Book Antiqua"/>
          <w:b/>
          <w:lang w:eastAsia="pl-PL"/>
        </w:rPr>
      </w:pPr>
    </w:p>
    <w:p w:rsidR="006C6383" w:rsidRDefault="006C6383" w:rsidP="006C6383">
      <w:pPr>
        <w:jc w:val="center"/>
        <w:rPr>
          <w:rFonts w:ascii="Book Antiqua" w:eastAsia="Times New Roman" w:hAnsi="Book Antiqua"/>
          <w:b/>
          <w:lang w:eastAsia="pl-PL"/>
        </w:rPr>
      </w:pPr>
    </w:p>
    <w:p w:rsidR="006C6383" w:rsidRDefault="006C6383" w:rsidP="006C6383">
      <w:pPr>
        <w:jc w:val="center"/>
        <w:rPr>
          <w:rFonts w:ascii="Book Antiqua" w:eastAsia="Times New Roman" w:hAnsi="Book Antiqua"/>
          <w:b/>
          <w:lang w:eastAsia="pl-PL"/>
        </w:rPr>
      </w:pPr>
    </w:p>
    <w:p w:rsidR="006C6383" w:rsidRDefault="006C6383" w:rsidP="006C6383">
      <w:pPr>
        <w:jc w:val="center"/>
        <w:rPr>
          <w:rFonts w:ascii="Book Antiqua" w:eastAsia="Times New Roman" w:hAnsi="Book Antiqua"/>
          <w:b/>
          <w:lang w:eastAsia="pl-PL"/>
        </w:rPr>
      </w:pPr>
    </w:p>
    <w:p w:rsidR="006C6383" w:rsidRDefault="006C6383" w:rsidP="006C6383">
      <w:pPr>
        <w:jc w:val="center"/>
        <w:rPr>
          <w:rFonts w:ascii="Book Antiqua" w:eastAsia="Times New Roman" w:hAnsi="Book Antiqua"/>
          <w:b/>
          <w:lang w:eastAsia="pl-PL"/>
        </w:rPr>
      </w:pPr>
      <w:r>
        <w:rPr>
          <w:rFonts w:ascii="Book Antiqua" w:eastAsia="Times New Roman" w:hAnsi="Book Antiqua"/>
          <w:b/>
          <w:lang w:eastAsia="pl-PL"/>
        </w:rPr>
        <w:t>Kadencja 2019-2020</w:t>
      </w:r>
    </w:p>
    <w:p w:rsidR="006C6383" w:rsidRDefault="006C6383" w:rsidP="006C6383">
      <w:pPr>
        <w:rPr>
          <w:rFonts w:ascii="Book Antiqua" w:eastAsia="Times New Roman" w:hAnsi="Book Antiqua"/>
          <w:lang w:eastAsia="pl-PL"/>
        </w:rPr>
      </w:pPr>
    </w:p>
    <w:p w:rsidR="006C6383" w:rsidRDefault="006C6383" w:rsidP="006C6383">
      <w:pPr>
        <w:rPr>
          <w:rFonts w:ascii="Book Antiqua" w:eastAsia="Times New Roman" w:hAnsi="Book Antiqua"/>
          <w:lang w:eastAsia="pl-PL"/>
        </w:rPr>
      </w:pPr>
    </w:p>
    <w:p w:rsidR="006C6383" w:rsidRDefault="006C6383" w:rsidP="006C6383">
      <w:pPr>
        <w:tabs>
          <w:tab w:val="left" w:pos="7346"/>
        </w:tabs>
        <w:jc w:val="center"/>
        <w:rPr>
          <w:rFonts w:ascii="Book Antiqua" w:eastAsia="Times New Roman" w:hAnsi="Book Antiqua"/>
          <w:b/>
          <w:lang w:eastAsia="pl-PL"/>
        </w:rPr>
      </w:pPr>
      <w:r>
        <w:rPr>
          <w:rFonts w:ascii="Book Antiqua" w:eastAsia="Times New Roman" w:hAnsi="Book Antiqua"/>
          <w:b/>
          <w:lang w:eastAsia="pl-PL"/>
        </w:rPr>
        <w:t>Uchwała Nr 1</w:t>
      </w:r>
      <w:r w:rsidR="004474DC">
        <w:rPr>
          <w:rFonts w:ascii="Book Antiqua" w:eastAsia="Times New Roman" w:hAnsi="Book Antiqua"/>
          <w:b/>
          <w:lang w:eastAsia="pl-PL"/>
        </w:rPr>
        <w:t>7</w:t>
      </w:r>
      <w:r>
        <w:rPr>
          <w:rFonts w:ascii="Book Antiqua" w:eastAsia="Times New Roman" w:hAnsi="Book Antiqua"/>
          <w:b/>
          <w:lang w:eastAsia="pl-PL"/>
        </w:rPr>
        <w:t>/20</w:t>
      </w:r>
      <w:r w:rsidR="000E077A">
        <w:rPr>
          <w:rFonts w:ascii="Book Antiqua" w:eastAsia="Times New Roman" w:hAnsi="Book Antiqua"/>
          <w:b/>
          <w:lang w:eastAsia="pl-PL"/>
        </w:rPr>
        <w:t>20</w:t>
      </w:r>
    </w:p>
    <w:p w:rsidR="006C6383" w:rsidRDefault="006C6383" w:rsidP="006C6383">
      <w:pPr>
        <w:tabs>
          <w:tab w:val="left" w:pos="7346"/>
        </w:tabs>
        <w:jc w:val="center"/>
        <w:rPr>
          <w:rFonts w:ascii="Book Antiqua" w:eastAsia="Times New Roman" w:hAnsi="Book Antiqua"/>
          <w:lang w:eastAsia="pl-PL"/>
        </w:rPr>
      </w:pPr>
    </w:p>
    <w:p w:rsidR="006C6383" w:rsidRDefault="006C6383" w:rsidP="006C6383">
      <w:pPr>
        <w:tabs>
          <w:tab w:val="left" w:pos="7346"/>
        </w:tabs>
        <w:jc w:val="center"/>
        <w:rPr>
          <w:rFonts w:ascii="Book Antiqua" w:eastAsia="Times New Roman" w:hAnsi="Book Antiqua"/>
          <w:b/>
          <w:lang w:eastAsia="pl-PL"/>
        </w:rPr>
      </w:pPr>
      <w:r>
        <w:rPr>
          <w:rFonts w:ascii="Book Antiqua" w:eastAsia="Times New Roman" w:hAnsi="Book Antiqua"/>
          <w:b/>
          <w:lang w:eastAsia="pl-PL"/>
        </w:rPr>
        <w:t xml:space="preserve">Kolegium Rektorów Uczelni Wrocławia i Opola </w:t>
      </w:r>
    </w:p>
    <w:p w:rsidR="006C6383" w:rsidRDefault="006C6383" w:rsidP="006C6383">
      <w:pPr>
        <w:tabs>
          <w:tab w:val="left" w:pos="7346"/>
        </w:tabs>
        <w:jc w:val="center"/>
        <w:rPr>
          <w:rFonts w:ascii="Book Antiqua" w:eastAsia="Times New Roman" w:hAnsi="Book Antiqua"/>
          <w:b/>
          <w:lang w:eastAsia="pl-PL"/>
        </w:rPr>
      </w:pPr>
      <w:r>
        <w:rPr>
          <w:rFonts w:ascii="Book Antiqua" w:eastAsia="Times New Roman" w:hAnsi="Book Antiqua"/>
          <w:b/>
          <w:lang w:eastAsia="pl-PL"/>
        </w:rPr>
        <w:t xml:space="preserve">z </w:t>
      </w:r>
      <w:r w:rsidR="000E077A">
        <w:rPr>
          <w:rFonts w:ascii="Book Antiqua" w:eastAsia="Times New Roman" w:hAnsi="Book Antiqua"/>
          <w:b/>
          <w:lang w:eastAsia="pl-PL"/>
        </w:rPr>
        <w:t>26 lutego 2020</w:t>
      </w:r>
      <w:r>
        <w:rPr>
          <w:rFonts w:ascii="Book Antiqua" w:eastAsia="Times New Roman" w:hAnsi="Book Antiqua"/>
          <w:b/>
          <w:lang w:eastAsia="pl-PL"/>
        </w:rPr>
        <w:t xml:space="preserve"> roku</w:t>
      </w:r>
    </w:p>
    <w:p w:rsidR="006C6383" w:rsidRDefault="006C6383" w:rsidP="006C6383">
      <w:pPr>
        <w:tabs>
          <w:tab w:val="left" w:pos="7346"/>
        </w:tabs>
        <w:jc w:val="center"/>
        <w:rPr>
          <w:rFonts w:ascii="Book Antiqua" w:eastAsia="Times New Roman" w:hAnsi="Book Antiqua"/>
          <w:b/>
          <w:lang w:eastAsia="pl-PL"/>
        </w:rPr>
      </w:pPr>
    </w:p>
    <w:p w:rsidR="006C6383" w:rsidRDefault="006C6383" w:rsidP="006C6383">
      <w:pPr>
        <w:tabs>
          <w:tab w:val="left" w:pos="7346"/>
        </w:tabs>
        <w:jc w:val="center"/>
        <w:rPr>
          <w:rFonts w:ascii="Book Antiqua" w:eastAsia="Times New Roman" w:hAnsi="Book Antiqua"/>
          <w:b/>
          <w:lang w:eastAsia="pl-PL"/>
        </w:rPr>
      </w:pPr>
    </w:p>
    <w:p w:rsidR="006C6383" w:rsidRDefault="006C6383" w:rsidP="006C6383">
      <w:pPr>
        <w:tabs>
          <w:tab w:val="left" w:pos="7346"/>
        </w:tabs>
        <w:spacing w:line="360" w:lineRule="auto"/>
        <w:jc w:val="center"/>
        <w:rPr>
          <w:rFonts w:ascii="Book Antiqua" w:eastAsia="Times New Roman" w:hAnsi="Book Antiqua"/>
          <w:lang w:eastAsia="pl-PL"/>
        </w:rPr>
      </w:pPr>
    </w:p>
    <w:p w:rsidR="00530432" w:rsidRDefault="00530432" w:rsidP="006C6383">
      <w:pPr>
        <w:tabs>
          <w:tab w:val="left" w:pos="7346"/>
        </w:tabs>
        <w:spacing w:line="360" w:lineRule="auto"/>
        <w:jc w:val="center"/>
        <w:rPr>
          <w:rFonts w:ascii="Book Antiqua" w:eastAsia="Times New Roman" w:hAnsi="Book Antiqua"/>
          <w:lang w:eastAsia="pl-PL"/>
        </w:rPr>
      </w:pPr>
    </w:p>
    <w:p w:rsidR="00B419FD" w:rsidRDefault="00B419FD" w:rsidP="00B419FD">
      <w:pPr>
        <w:pStyle w:val="Akapitzlist"/>
        <w:spacing w:line="360" w:lineRule="auto"/>
        <w:jc w:val="center"/>
        <w:rPr>
          <w:rFonts w:ascii="Book Antiqua" w:hAnsi="Book Antiqua"/>
        </w:rPr>
      </w:pPr>
      <w:r>
        <w:rPr>
          <w:rFonts w:ascii="Book Antiqua" w:eastAsia="Calibri" w:hAnsi="Book Antiqua"/>
          <w:lang w:eastAsia="pl-PL"/>
        </w:rPr>
        <w:t>w sprawie</w:t>
      </w:r>
      <w:r>
        <w:rPr>
          <w:rFonts w:ascii="Book Antiqua" w:eastAsia="Calibri" w:hAnsi="Book Antiqua"/>
          <w:b/>
          <w:lang w:eastAsia="pl-PL"/>
        </w:rPr>
        <w:t xml:space="preserve"> </w:t>
      </w:r>
      <w:r w:rsidR="004474DC">
        <w:rPr>
          <w:rFonts w:ascii="Book Antiqua" w:hAnsi="Book Antiqua"/>
        </w:rPr>
        <w:t>zaleceń dla uczelni KRUWIO w związku z ryzykiem koronawirusa</w:t>
      </w:r>
      <w:r w:rsidR="005B68A6">
        <w:rPr>
          <w:rFonts w:ascii="Book Antiqua" w:hAnsi="Book Antiqua"/>
        </w:rPr>
        <w:t xml:space="preserve"> </w:t>
      </w:r>
      <w:r w:rsidR="005B68A6" w:rsidRPr="005B68A6">
        <w:rPr>
          <w:rFonts w:ascii="Book Antiqua" w:hAnsi="Book Antiqua"/>
        </w:rPr>
        <w:t>2019-nCoV</w:t>
      </w:r>
    </w:p>
    <w:p w:rsidR="00B419FD" w:rsidRDefault="00B419FD" w:rsidP="00B419FD">
      <w:pPr>
        <w:tabs>
          <w:tab w:val="left" w:pos="7346"/>
        </w:tabs>
        <w:jc w:val="center"/>
        <w:rPr>
          <w:rFonts w:ascii="Book Antiqua" w:eastAsia="Times New Roman" w:hAnsi="Book Antiqua"/>
          <w:b/>
          <w:lang w:eastAsia="pl-PL"/>
        </w:rPr>
      </w:pPr>
    </w:p>
    <w:p w:rsidR="00B419FD" w:rsidRDefault="00B419FD" w:rsidP="00B419FD">
      <w:pPr>
        <w:tabs>
          <w:tab w:val="left" w:pos="7346"/>
        </w:tabs>
        <w:jc w:val="center"/>
        <w:rPr>
          <w:rFonts w:ascii="Book Antiqua" w:eastAsia="Times New Roman" w:hAnsi="Book Antiqua"/>
          <w:b/>
          <w:lang w:eastAsia="pl-PL"/>
        </w:rPr>
      </w:pPr>
    </w:p>
    <w:p w:rsidR="00B419FD" w:rsidRDefault="00B419FD" w:rsidP="00B419FD">
      <w:pPr>
        <w:tabs>
          <w:tab w:val="left" w:pos="7346"/>
        </w:tabs>
        <w:jc w:val="center"/>
        <w:rPr>
          <w:rFonts w:ascii="Book Antiqua" w:eastAsia="Times New Roman" w:hAnsi="Book Antiqua"/>
          <w:b/>
          <w:i/>
          <w:lang w:eastAsia="pl-PL"/>
        </w:rPr>
      </w:pPr>
      <w:r>
        <w:rPr>
          <w:rFonts w:ascii="Book Antiqua" w:eastAsia="Times New Roman" w:hAnsi="Book Antiqua"/>
          <w:b/>
          <w:lang w:eastAsia="pl-PL"/>
        </w:rPr>
        <w:t>§ 1</w:t>
      </w:r>
    </w:p>
    <w:p w:rsidR="00B419FD" w:rsidRDefault="00B419FD" w:rsidP="00B419FD">
      <w:pPr>
        <w:tabs>
          <w:tab w:val="left" w:pos="7346"/>
        </w:tabs>
        <w:spacing w:line="360" w:lineRule="auto"/>
        <w:jc w:val="center"/>
        <w:rPr>
          <w:rFonts w:ascii="Book Antiqua" w:eastAsia="Times New Roman" w:hAnsi="Book Antiqua"/>
          <w:lang w:eastAsia="pl-PL"/>
        </w:rPr>
      </w:pPr>
    </w:p>
    <w:p w:rsidR="009245FA" w:rsidRPr="009245FA" w:rsidRDefault="009245FA" w:rsidP="009245FA">
      <w:p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  <w:r>
        <w:rPr>
          <w:rFonts w:ascii="Book Antiqua" w:eastAsia="Times New Roman" w:hAnsi="Book Antiqua"/>
          <w:lang w:eastAsia="pl-PL"/>
        </w:rPr>
        <w:t xml:space="preserve">Kolegium Rektorów Uczelni Wrocławia i Opola zaleca zapoznanie się z </w:t>
      </w:r>
      <w:r w:rsidRPr="009245FA">
        <w:rPr>
          <w:rFonts w:ascii="Book Antiqua" w:eastAsia="Times New Roman" w:hAnsi="Book Antiqua"/>
          <w:lang w:eastAsia="pl-PL"/>
        </w:rPr>
        <w:t>komunikatem Ministerstwa Spraw Zagranicznych oraz komunikatem Światowej Organizacji Zdrowia (WHO) dotyczącym ogłoszenia stanu zagrożenia zdrowia publicznego o znaczeniu międzynarodowym</w:t>
      </w:r>
      <w:r>
        <w:rPr>
          <w:rFonts w:ascii="Book Antiqua" w:eastAsia="Times New Roman" w:hAnsi="Book Antiqua"/>
          <w:lang w:eastAsia="pl-PL"/>
        </w:rPr>
        <w:t>:</w:t>
      </w:r>
      <w:r w:rsidRPr="009245FA">
        <w:rPr>
          <w:rFonts w:ascii="Book Antiqua" w:eastAsia="Times New Roman" w:hAnsi="Book Antiqua"/>
          <w:lang w:eastAsia="pl-PL"/>
        </w:rPr>
        <w:t>(gis.gov.pl/aktualnosci/who-oglasza-stan-zagrozenia-zdrowia-publicznego-o-znaczeniu-miedzynarodowym-pheic), któr</w:t>
      </w:r>
      <w:r w:rsidR="00662B55">
        <w:rPr>
          <w:rFonts w:ascii="Book Antiqua" w:eastAsia="Times New Roman" w:hAnsi="Book Antiqua"/>
          <w:lang w:eastAsia="pl-PL"/>
        </w:rPr>
        <w:t>y</w:t>
      </w:r>
      <w:r w:rsidRPr="009245FA">
        <w:rPr>
          <w:rFonts w:ascii="Book Antiqua" w:eastAsia="Times New Roman" w:hAnsi="Book Antiqua"/>
          <w:lang w:eastAsia="pl-PL"/>
        </w:rPr>
        <w:t xml:space="preserve"> odnos</w:t>
      </w:r>
      <w:r w:rsidR="00662B55">
        <w:rPr>
          <w:rFonts w:ascii="Book Antiqua" w:eastAsia="Times New Roman" w:hAnsi="Book Antiqua"/>
          <w:lang w:eastAsia="pl-PL"/>
        </w:rPr>
        <w:t>i</w:t>
      </w:r>
      <w:r w:rsidRPr="009245FA">
        <w:rPr>
          <w:rFonts w:ascii="Book Antiqua" w:eastAsia="Times New Roman" w:hAnsi="Book Antiqua"/>
          <w:lang w:eastAsia="pl-PL"/>
        </w:rPr>
        <w:t xml:space="preserve"> się do zagrożenia epidemiologicznego koronawirusem 2019-nCoV</w:t>
      </w:r>
      <w:r>
        <w:rPr>
          <w:rFonts w:ascii="Book Antiqua" w:eastAsia="Times New Roman" w:hAnsi="Book Antiqua"/>
          <w:lang w:eastAsia="pl-PL"/>
        </w:rPr>
        <w:t xml:space="preserve">. </w:t>
      </w:r>
      <w:r w:rsidR="00530432">
        <w:rPr>
          <w:rFonts w:ascii="Book Antiqua" w:eastAsia="Times New Roman" w:hAnsi="Book Antiqua"/>
          <w:lang w:eastAsia="pl-PL"/>
        </w:rPr>
        <w:t>Aktualnie nie ma</w:t>
      </w:r>
      <w:r>
        <w:rPr>
          <w:rFonts w:ascii="Book Antiqua" w:eastAsia="Times New Roman" w:hAnsi="Book Antiqua"/>
          <w:lang w:eastAsia="pl-PL"/>
        </w:rPr>
        <w:t xml:space="preserve"> wytycznych </w:t>
      </w:r>
      <w:r w:rsidRPr="009245FA">
        <w:rPr>
          <w:rFonts w:ascii="Book Antiqua" w:eastAsia="Times New Roman" w:hAnsi="Book Antiqua"/>
          <w:lang w:eastAsia="pl-PL"/>
        </w:rPr>
        <w:t xml:space="preserve">Światowej Organizacji Zdrowia (WHO) </w:t>
      </w:r>
      <w:r>
        <w:rPr>
          <w:rFonts w:ascii="Book Antiqua" w:eastAsia="Times New Roman" w:hAnsi="Book Antiqua"/>
          <w:lang w:eastAsia="pl-PL"/>
        </w:rPr>
        <w:t>i</w:t>
      </w:r>
      <w:r w:rsidRPr="009245FA">
        <w:rPr>
          <w:rFonts w:ascii="Book Antiqua" w:eastAsia="Times New Roman" w:hAnsi="Book Antiqua"/>
          <w:lang w:eastAsia="pl-PL"/>
        </w:rPr>
        <w:t xml:space="preserve"> Europejskiego Centrum ds. Zapobiegania i Kontroli Chorób (ECDC), które nakazywałyby objęcie nadzorem osoby powracające z krajów azjatyckich, jeżeli nie spełniają one kryteriów kwalifikacji do dalszego postępowania.</w:t>
      </w:r>
    </w:p>
    <w:p w:rsidR="009245FA" w:rsidRPr="009245FA" w:rsidRDefault="009245FA" w:rsidP="009245FA">
      <w:p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</w:p>
    <w:p w:rsidR="009245FA" w:rsidRPr="009245FA" w:rsidRDefault="009245FA" w:rsidP="009245FA">
      <w:p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  <w:r w:rsidRPr="009245FA">
        <w:rPr>
          <w:rFonts w:ascii="Book Antiqua" w:eastAsia="Times New Roman" w:hAnsi="Book Antiqua"/>
          <w:lang w:eastAsia="pl-PL"/>
        </w:rPr>
        <w:t>Postępowaniu podlega osoba, która spełnia kryteria kliniczne oraz kryteria epidemiologiczne:</w:t>
      </w:r>
    </w:p>
    <w:p w:rsidR="009245FA" w:rsidRPr="009245FA" w:rsidRDefault="009245FA" w:rsidP="009245FA">
      <w:p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</w:p>
    <w:p w:rsidR="009245FA" w:rsidRPr="009245FA" w:rsidRDefault="009245FA" w:rsidP="009245FA">
      <w:p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  <w:r w:rsidRPr="009245FA">
        <w:rPr>
          <w:rFonts w:ascii="Book Antiqua" w:eastAsia="Times New Roman" w:hAnsi="Book Antiqua"/>
          <w:lang w:eastAsia="pl-PL"/>
        </w:rPr>
        <w:t>Kryteria kliniczne: Każda osoba, u której wystąpił co najmniej jeden z wymienionych objawów ostrej infekcji układu oddechowego:</w:t>
      </w:r>
    </w:p>
    <w:p w:rsidR="009245FA" w:rsidRPr="009245FA" w:rsidRDefault="009245FA" w:rsidP="009245FA">
      <w:p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</w:p>
    <w:p w:rsidR="009245FA" w:rsidRPr="00530432" w:rsidRDefault="009245FA" w:rsidP="00530432">
      <w:pPr>
        <w:pStyle w:val="Akapitzlist"/>
        <w:numPr>
          <w:ilvl w:val="0"/>
          <w:numId w:val="1"/>
        </w:num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  <w:r w:rsidRPr="00530432">
        <w:rPr>
          <w:rFonts w:ascii="Book Antiqua" w:eastAsia="Times New Roman" w:hAnsi="Book Antiqua"/>
          <w:lang w:eastAsia="pl-PL"/>
        </w:rPr>
        <w:t>gorączka</w:t>
      </w:r>
    </w:p>
    <w:p w:rsidR="009245FA" w:rsidRPr="00530432" w:rsidRDefault="009245FA" w:rsidP="00530432">
      <w:pPr>
        <w:pStyle w:val="Akapitzlist"/>
        <w:numPr>
          <w:ilvl w:val="0"/>
          <w:numId w:val="1"/>
        </w:num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  <w:r w:rsidRPr="00530432">
        <w:rPr>
          <w:rFonts w:ascii="Book Antiqua" w:eastAsia="Times New Roman" w:hAnsi="Book Antiqua"/>
          <w:lang w:eastAsia="pl-PL"/>
        </w:rPr>
        <w:t>kaszel</w:t>
      </w:r>
    </w:p>
    <w:p w:rsidR="009245FA" w:rsidRPr="00530432" w:rsidRDefault="009245FA" w:rsidP="00530432">
      <w:pPr>
        <w:pStyle w:val="Akapitzlist"/>
        <w:numPr>
          <w:ilvl w:val="0"/>
          <w:numId w:val="1"/>
        </w:num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  <w:r w:rsidRPr="00530432">
        <w:rPr>
          <w:rFonts w:ascii="Book Antiqua" w:eastAsia="Times New Roman" w:hAnsi="Book Antiqua"/>
          <w:lang w:eastAsia="pl-PL"/>
        </w:rPr>
        <w:t>duszność</w:t>
      </w:r>
    </w:p>
    <w:p w:rsidR="009245FA" w:rsidRPr="009245FA" w:rsidRDefault="009245FA" w:rsidP="009245FA">
      <w:p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</w:p>
    <w:p w:rsidR="009245FA" w:rsidRPr="009245FA" w:rsidRDefault="009245FA" w:rsidP="009245FA">
      <w:p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  <w:r w:rsidRPr="009245FA">
        <w:rPr>
          <w:rFonts w:ascii="Book Antiqua" w:eastAsia="Times New Roman" w:hAnsi="Book Antiqua"/>
          <w:lang w:eastAsia="pl-PL"/>
        </w:rPr>
        <w:t>Kryteria epidemiologiczne: Każda osoba, która  w okresie 14 dni przed wystąpieniem objawów spełniała co najmniej jedno z następujących kryteriów:</w:t>
      </w:r>
    </w:p>
    <w:p w:rsidR="009245FA" w:rsidRPr="009245FA" w:rsidRDefault="009245FA" w:rsidP="009245FA">
      <w:p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</w:p>
    <w:p w:rsidR="009245FA" w:rsidRPr="00530432" w:rsidRDefault="009245FA" w:rsidP="00530432">
      <w:pPr>
        <w:pStyle w:val="Akapitzlist"/>
        <w:numPr>
          <w:ilvl w:val="0"/>
          <w:numId w:val="2"/>
        </w:num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  <w:r w:rsidRPr="00530432">
        <w:rPr>
          <w:rFonts w:ascii="Book Antiqua" w:eastAsia="Times New Roman" w:hAnsi="Book Antiqua"/>
          <w:lang w:eastAsia="pl-PL"/>
        </w:rPr>
        <w:t>podróżowała/przebywała w regionie, w którym podejrzewa się  utrzymującą się transmisję SARS-CoV-2</w:t>
      </w:r>
    </w:p>
    <w:p w:rsidR="009245FA" w:rsidRPr="00530432" w:rsidRDefault="009245FA" w:rsidP="00530432">
      <w:pPr>
        <w:pStyle w:val="Akapitzlist"/>
        <w:numPr>
          <w:ilvl w:val="0"/>
          <w:numId w:val="2"/>
        </w:num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  <w:r w:rsidRPr="00530432">
        <w:rPr>
          <w:rFonts w:ascii="Book Antiqua" w:eastAsia="Times New Roman" w:hAnsi="Book Antiqua"/>
          <w:lang w:eastAsia="pl-PL"/>
        </w:rPr>
        <w:t>miała bliski kontakt z osobą, u której stwierdzono zakażenie SARS-CoV-2 (kontakt z przypadkiem potwierdzonym lub przypadkiem prawdopodobnym)</w:t>
      </w:r>
    </w:p>
    <w:p w:rsidR="00B419FD" w:rsidRPr="00816DFF" w:rsidRDefault="009245FA" w:rsidP="00530432">
      <w:pPr>
        <w:pStyle w:val="Akapitzlist"/>
        <w:numPr>
          <w:ilvl w:val="0"/>
          <w:numId w:val="2"/>
        </w:num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b/>
          <w:lang w:eastAsia="pl-PL"/>
        </w:rPr>
      </w:pPr>
      <w:r w:rsidRPr="00530432">
        <w:rPr>
          <w:rFonts w:ascii="Book Antiqua" w:eastAsia="Times New Roman" w:hAnsi="Book Antiqua"/>
          <w:lang w:eastAsia="pl-PL"/>
        </w:rPr>
        <w:t>pracowała lub przebywała jako odwiedzający w jednostce opieki zdrowotnej, w której leczono pacjentów zakażonych SARS-CoV-2</w:t>
      </w:r>
    </w:p>
    <w:p w:rsidR="008F7CB7" w:rsidRDefault="008F7CB7" w:rsidP="00816DFF">
      <w:p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</w:p>
    <w:p w:rsidR="00816DFF" w:rsidRPr="00D25BBC" w:rsidRDefault="00D25BBC" w:rsidP="00816DFF">
      <w:pPr>
        <w:tabs>
          <w:tab w:val="left" w:pos="7346"/>
        </w:tabs>
        <w:spacing w:line="360" w:lineRule="auto"/>
        <w:jc w:val="both"/>
        <w:rPr>
          <w:rFonts w:ascii="Book Antiqua" w:eastAsia="Times New Roman" w:hAnsi="Book Antiqua"/>
          <w:lang w:eastAsia="pl-PL"/>
        </w:rPr>
      </w:pPr>
      <w:r>
        <w:rPr>
          <w:rFonts w:ascii="Book Antiqua" w:eastAsia="Times New Roman" w:hAnsi="Book Antiqua"/>
          <w:lang w:eastAsia="pl-PL"/>
        </w:rPr>
        <w:t>W</w:t>
      </w:r>
      <w:r w:rsidRPr="00D25BBC">
        <w:rPr>
          <w:rFonts w:ascii="Book Antiqua" w:eastAsia="Times New Roman" w:hAnsi="Book Antiqua"/>
          <w:lang w:eastAsia="pl-PL"/>
        </w:rPr>
        <w:t xml:space="preserve"> przypadku osób powracających z rejonu utrwalonej transmisji wirusa (listę tych miejsc znaleźć można na stronie) zaleca się kontakt z najbliższą Stacją Sanitarno-Epidemiologiczną nawet jeśli nie wystąpiły żadne z objawów chorobowych.</w:t>
      </w:r>
    </w:p>
    <w:p w:rsidR="008F7CB7" w:rsidRDefault="008F7CB7" w:rsidP="006C6383">
      <w:pPr>
        <w:tabs>
          <w:tab w:val="left" w:pos="7346"/>
        </w:tabs>
        <w:rPr>
          <w:rFonts w:ascii="Book Antiqua" w:eastAsia="Times New Roman" w:hAnsi="Book Antiqua"/>
          <w:lang w:eastAsia="pl-PL"/>
        </w:rPr>
      </w:pPr>
    </w:p>
    <w:p w:rsidR="006C6383" w:rsidRPr="00816DFF" w:rsidRDefault="00816DFF" w:rsidP="006C6383">
      <w:pPr>
        <w:tabs>
          <w:tab w:val="left" w:pos="7346"/>
        </w:tabs>
        <w:rPr>
          <w:rFonts w:ascii="Book Antiqua" w:eastAsia="Times New Roman" w:hAnsi="Book Antiqua"/>
          <w:lang w:eastAsia="pl-PL"/>
        </w:rPr>
      </w:pPr>
      <w:r>
        <w:rPr>
          <w:rFonts w:ascii="Book Antiqua" w:eastAsia="Times New Roman" w:hAnsi="Book Antiqua"/>
          <w:lang w:eastAsia="pl-PL"/>
        </w:rPr>
        <w:t xml:space="preserve">Kolegium </w:t>
      </w:r>
      <w:r w:rsidRPr="00816DFF">
        <w:rPr>
          <w:rFonts w:ascii="Book Antiqua" w:eastAsia="Times New Roman" w:hAnsi="Book Antiqua"/>
          <w:lang w:eastAsia="pl-PL"/>
        </w:rPr>
        <w:t>Rektorów Uczelni Wrocławia i Opola apeluje o śledzenie bieżących doniesień nt. wirusa 2019-nCoV przed podjęciem decyzji o wyjazdach zagranicznych.</w:t>
      </w:r>
    </w:p>
    <w:p w:rsidR="006C6383" w:rsidRDefault="006C6383" w:rsidP="006C6383">
      <w:pPr>
        <w:tabs>
          <w:tab w:val="left" w:pos="7346"/>
        </w:tabs>
        <w:jc w:val="both"/>
        <w:rPr>
          <w:rFonts w:ascii="Book Antiqua" w:eastAsia="Times New Roman" w:hAnsi="Book Antiqua"/>
          <w:lang w:eastAsia="pl-PL"/>
        </w:rPr>
      </w:pPr>
      <w:bookmarkStart w:id="0" w:name="_GoBack"/>
      <w:bookmarkEnd w:id="0"/>
    </w:p>
    <w:p w:rsidR="006C6383" w:rsidRDefault="006C6383" w:rsidP="006C6383">
      <w:pPr>
        <w:tabs>
          <w:tab w:val="left" w:pos="7346"/>
        </w:tabs>
        <w:jc w:val="center"/>
        <w:rPr>
          <w:rFonts w:ascii="Book Antiqua" w:eastAsia="Times New Roman" w:hAnsi="Book Antiqua"/>
          <w:b/>
          <w:lang w:eastAsia="pl-PL"/>
        </w:rPr>
      </w:pPr>
      <w:r>
        <w:rPr>
          <w:rFonts w:ascii="Book Antiqua" w:eastAsia="Times New Roman" w:hAnsi="Book Antiqua"/>
          <w:b/>
          <w:lang w:eastAsia="pl-PL"/>
        </w:rPr>
        <w:t>§ 2</w:t>
      </w:r>
    </w:p>
    <w:p w:rsidR="006C6383" w:rsidRDefault="006C6383" w:rsidP="006C6383">
      <w:pPr>
        <w:tabs>
          <w:tab w:val="left" w:pos="7346"/>
        </w:tabs>
        <w:rPr>
          <w:rFonts w:ascii="Book Antiqua" w:eastAsia="Times New Roman" w:hAnsi="Book Antiqua"/>
          <w:lang w:eastAsia="pl-PL"/>
        </w:rPr>
      </w:pPr>
    </w:p>
    <w:p w:rsidR="006C6383" w:rsidRDefault="006C6383" w:rsidP="006C6383">
      <w:pPr>
        <w:tabs>
          <w:tab w:val="left" w:pos="7346"/>
        </w:tabs>
        <w:jc w:val="center"/>
        <w:rPr>
          <w:rFonts w:ascii="Book Antiqua" w:eastAsia="Times New Roman" w:hAnsi="Book Antiqua"/>
          <w:lang w:eastAsia="pl-PL"/>
        </w:rPr>
      </w:pPr>
      <w:r>
        <w:rPr>
          <w:rFonts w:ascii="Book Antiqua" w:eastAsia="Times New Roman" w:hAnsi="Book Antiqua"/>
          <w:lang w:eastAsia="pl-PL"/>
        </w:rPr>
        <w:t>Uchwała wchodzi w życie z dniem jej podjęcia.</w:t>
      </w:r>
    </w:p>
    <w:p w:rsidR="006C6383" w:rsidRDefault="006C6383" w:rsidP="006C6383">
      <w:pPr>
        <w:tabs>
          <w:tab w:val="left" w:pos="7346"/>
        </w:tabs>
        <w:jc w:val="both"/>
        <w:rPr>
          <w:rFonts w:ascii="Book Antiqua" w:eastAsia="Times New Roman" w:hAnsi="Book Antiqua"/>
          <w:lang w:eastAsia="pl-PL"/>
        </w:rPr>
      </w:pPr>
    </w:p>
    <w:p w:rsidR="006C6383" w:rsidRDefault="006C6383" w:rsidP="006C6383">
      <w:pPr>
        <w:tabs>
          <w:tab w:val="left" w:pos="7346"/>
        </w:tabs>
        <w:jc w:val="both"/>
        <w:rPr>
          <w:rFonts w:ascii="Book Antiqua" w:eastAsia="Times New Roman" w:hAnsi="Book Antiqua"/>
          <w:lang w:eastAsia="pl-PL"/>
        </w:rPr>
      </w:pPr>
    </w:p>
    <w:p w:rsidR="006C6383" w:rsidRDefault="006C6383" w:rsidP="006C6383">
      <w:pPr>
        <w:tabs>
          <w:tab w:val="left" w:pos="7346"/>
        </w:tabs>
        <w:jc w:val="both"/>
        <w:rPr>
          <w:rFonts w:ascii="Book Antiqua" w:eastAsia="Times New Roman" w:hAnsi="Book Antiqua"/>
          <w:lang w:eastAsia="pl-PL"/>
        </w:rPr>
      </w:pPr>
    </w:p>
    <w:p w:rsidR="006C6383" w:rsidRDefault="006C6383" w:rsidP="006C6383">
      <w:pPr>
        <w:tabs>
          <w:tab w:val="left" w:pos="7346"/>
        </w:tabs>
        <w:jc w:val="both"/>
        <w:rPr>
          <w:rFonts w:ascii="Book Antiqua" w:eastAsia="Times New Roman" w:hAnsi="Book Antiqua"/>
          <w:lang w:eastAsia="pl-PL"/>
        </w:rPr>
      </w:pPr>
    </w:p>
    <w:p w:rsidR="006C6383" w:rsidRDefault="006C6383" w:rsidP="006C6383">
      <w:pPr>
        <w:tabs>
          <w:tab w:val="left" w:pos="7346"/>
        </w:tabs>
        <w:jc w:val="both"/>
        <w:rPr>
          <w:rFonts w:ascii="Book Antiqua" w:eastAsia="Times New Roman" w:hAnsi="Book Antiqua"/>
          <w:lang w:eastAsia="pl-PL"/>
        </w:rPr>
      </w:pPr>
    </w:p>
    <w:p w:rsidR="006C6383" w:rsidRDefault="006C6383" w:rsidP="000E077A">
      <w:pPr>
        <w:tabs>
          <w:tab w:val="left" w:pos="7346"/>
        </w:tabs>
        <w:jc w:val="both"/>
        <w:rPr>
          <w:rFonts w:ascii="Book Antiqua" w:eastAsia="Times New Roman" w:hAnsi="Book Antiqua"/>
          <w:lang w:eastAsia="pl-PL"/>
        </w:rPr>
      </w:pPr>
      <w:r>
        <w:rPr>
          <w:rFonts w:ascii="Book Antiqua" w:eastAsia="Times New Roman" w:hAnsi="Book Antiqua"/>
          <w:lang w:eastAsia="pl-PL"/>
        </w:rPr>
        <w:t xml:space="preserve">                                                                                   </w:t>
      </w:r>
    </w:p>
    <w:p w:rsidR="00A0002C" w:rsidRPr="006C6383" w:rsidRDefault="00A0002C" w:rsidP="006C6383"/>
    <w:sectPr w:rsidR="00A0002C" w:rsidRPr="006C6383" w:rsidSect="00CA7113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95F" w:rsidRDefault="00CF595F">
      <w:r>
        <w:separator/>
      </w:r>
    </w:p>
  </w:endnote>
  <w:endnote w:type="continuationSeparator" w:id="0">
    <w:p w:rsidR="00CF595F" w:rsidRDefault="00CF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arnock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2E" w:rsidRDefault="004508A9">
    <w:pPr>
      <w:pStyle w:val="Stopka"/>
    </w:pPr>
    <w:r w:rsidRPr="004508A9">
      <w:rPr>
        <w:noProof/>
        <w:vertAlign w:val="subscript"/>
        <w:lang w:eastAsia="pl-PL"/>
      </w:rPr>
      <w:drawing>
        <wp:inline distT="0" distB="0" distL="0" distR="0">
          <wp:extent cx="6076043" cy="21399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_KRUWiO_dol_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76043" cy="21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95F" w:rsidRDefault="00CF595F">
      <w:r>
        <w:separator/>
      </w:r>
    </w:p>
  </w:footnote>
  <w:footnote w:type="continuationSeparator" w:id="0">
    <w:p w:rsidR="00CF595F" w:rsidRDefault="00CF5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2E" w:rsidRDefault="004508A9" w:rsidP="0030218C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271395" cy="880110"/>
          <wp:effectExtent l="0" t="0" r="0" b="0"/>
          <wp:docPr id="1" name="Obraz 1" descr="papier_KRUW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KRUW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39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F14F5"/>
    <w:multiLevelType w:val="hybridMultilevel"/>
    <w:tmpl w:val="81DA1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75F1"/>
    <w:multiLevelType w:val="hybridMultilevel"/>
    <w:tmpl w:val="F5ECE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FC"/>
    <w:rsid w:val="000142F4"/>
    <w:rsid w:val="000458F1"/>
    <w:rsid w:val="00074251"/>
    <w:rsid w:val="00085C41"/>
    <w:rsid w:val="000C484A"/>
    <w:rsid w:val="000C5D03"/>
    <w:rsid w:val="000E077A"/>
    <w:rsid w:val="00123AF9"/>
    <w:rsid w:val="001362CC"/>
    <w:rsid w:val="00144DB2"/>
    <w:rsid w:val="001945AC"/>
    <w:rsid w:val="001F2781"/>
    <w:rsid w:val="00262881"/>
    <w:rsid w:val="00291CF8"/>
    <w:rsid w:val="002A2C3A"/>
    <w:rsid w:val="002D18CE"/>
    <w:rsid w:val="002F73B9"/>
    <w:rsid w:val="0030218C"/>
    <w:rsid w:val="00312056"/>
    <w:rsid w:val="00323594"/>
    <w:rsid w:val="003252CA"/>
    <w:rsid w:val="00336987"/>
    <w:rsid w:val="00337EF6"/>
    <w:rsid w:val="00355DC8"/>
    <w:rsid w:val="00390213"/>
    <w:rsid w:val="003A2C87"/>
    <w:rsid w:val="003A3586"/>
    <w:rsid w:val="003A6D2E"/>
    <w:rsid w:val="003B05EA"/>
    <w:rsid w:val="003D378B"/>
    <w:rsid w:val="003F23FF"/>
    <w:rsid w:val="003F524F"/>
    <w:rsid w:val="00401BF1"/>
    <w:rsid w:val="00403A74"/>
    <w:rsid w:val="004079C0"/>
    <w:rsid w:val="004474DC"/>
    <w:rsid w:val="004508A9"/>
    <w:rsid w:val="0047712E"/>
    <w:rsid w:val="00497D6A"/>
    <w:rsid w:val="004A1868"/>
    <w:rsid w:val="004D030B"/>
    <w:rsid w:val="00515A54"/>
    <w:rsid w:val="00530432"/>
    <w:rsid w:val="00547408"/>
    <w:rsid w:val="005515FB"/>
    <w:rsid w:val="00555705"/>
    <w:rsid w:val="0057349B"/>
    <w:rsid w:val="005765D9"/>
    <w:rsid w:val="005B68A6"/>
    <w:rsid w:val="006054D7"/>
    <w:rsid w:val="00634532"/>
    <w:rsid w:val="00635F7A"/>
    <w:rsid w:val="00646F3C"/>
    <w:rsid w:val="00662B55"/>
    <w:rsid w:val="00663894"/>
    <w:rsid w:val="00673F1B"/>
    <w:rsid w:val="00685948"/>
    <w:rsid w:val="006C145E"/>
    <w:rsid w:val="006C6383"/>
    <w:rsid w:val="007164D8"/>
    <w:rsid w:val="007E72B7"/>
    <w:rsid w:val="00816DFF"/>
    <w:rsid w:val="00870E4E"/>
    <w:rsid w:val="00870F92"/>
    <w:rsid w:val="008A497E"/>
    <w:rsid w:val="008E1AE3"/>
    <w:rsid w:val="008E26ED"/>
    <w:rsid w:val="008F7CB7"/>
    <w:rsid w:val="009245FA"/>
    <w:rsid w:val="00941A60"/>
    <w:rsid w:val="00985793"/>
    <w:rsid w:val="009903FC"/>
    <w:rsid w:val="009F0160"/>
    <w:rsid w:val="00A0002C"/>
    <w:rsid w:val="00A1141A"/>
    <w:rsid w:val="00A14683"/>
    <w:rsid w:val="00A16FF5"/>
    <w:rsid w:val="00A5445A"/>
    <w:rsid w:val="00A70152"/>
    <w:rsid w:val="00A702A7"/>
    <w:rsid w:val="00A74492"/>
    <w:rsid w:val="00AE5E4E"/>
    <w:rsid w:val="00B104CA"/>
    <w:rsid w:val="00B419FD"/>
    <w:rsid w:val="00B95A3C"/>
    <w:rsid w:val="00BE1ACB"/>
    <w:rsid w:val="00BF5973"/>
    <w:rsid w:val="00C2589B"/>
    <w:rsid w:val="00C2750C"/>
    <w:rsid w:val="00C36862"/>
    <w:rsid w:val="00C42580"/>
    <w:rsid w:val="00C54C10"/>
    <w:rsid w:val="00C67D99"/>
    <w:rsid w:val="00C73CB3"/>
    <w:rsid w:val="00C950A7"/>
    <w:rsid w:val="00CA7113"/>
    <w:rsid w:val="00CF4402"/>
    <w:rsid w:val="00CF595F"/>
    <w:rsid w:val="00D25BBC"/>
    <w:rsid w:val="00D3763D"/>
    <w:rsid w:val="00D616C3"/>
    <w:rsid w:val="00D835ED"/>
    <w:rsid w:val="00DA02A2"/>
    <w:rsid w:val="00DB7B20"/>
    <w:rsid w:val="00DD1C80"/>
    <w:rsid w:val="00DD31DD"/>
    <w:rsid w:val="00E62930"/>
    <w:rsid w:val="00E963FC"/>
    <w:rsid w:val="00EB66F2"/>
    <w:rsid w:val="00F15C88"/>
    <w:rsid w:val="00F268C4"/>
    <w:rsid w:val="00FD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E0333-68B7-4D67-AF2D-284D3167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8E26ED"/>
    <w:rPr>
      <w:rFonts w:ascii="Warnock Pro" w:hAnsi="Warnock Pro"/>
      <w:vertAlign w:val="superscript"/>
    </w:rPr>
  </w:style>
  <w:style w:type="paragraph" w:styleId="Nagwek">
    <w:name w:val="header"/>
    <w:basedOn w:val="Normalny"/>
    <w:link w:val="NagwekZnak"/>
    <w:rsid w:val="00CA71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3763D"/>
    <w:rPr>
      <w:rFonts w:eastAsia="Batang"/>
      <w:sz w:val="24"/>
      <w:szCs w:val="24"/>
      <w:lang w:val="pl-PL" w:eastAsia="ko-KR" w:bidi="ar-SA"/>
    </w:rPr>
  </w:style>
  <w:style w:type="character" w:styleId="Hipercze">
    <w:name w:val="Hyperlink"/>
    <w:rsid w:val="00B95A3C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03A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03A74"/>
    <w:rPr>
      <w:rFonts w:ascii="Segoe UI" w:hAnsi="Segoe UI" w:cs="Segoe UI"/>
      <w:sz w:val="18"/>
      <w:szCs w:val="18"/>
      <w:lang w:eastAsia="ko-KR"/>
    </w:rPr>
  </w:style>
  <w:style w:type="character" w:styleId="Pogrubienie">
    <w:name w:val="Strong"/>
    <w:uiPriority w:val="22"/>
    <w:qFormat/>
    <w:rsid w:val="00C54C10"/>
    <w:rPr>
      <w:b/>
      <w:bCs/>
    </w:rPr>
  </w:style>
  <w:style w:type="paragraph" w:styleId="Akapitzlist">
    <w:name w:val="List Paragraph"/>
    <w:basedOn w:val="Normalny"/>
    <w:uiPriority w:val="34"/>
    <w:qFormat/>
    <w:rsid w:val="006C6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solowska\AppData\Local\Microsoft\Windows\Temporary%20Internet%20Files\Content.Outlook\582MLXVA\KRUWIO%20formatka_2019_v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EE07F-25A9-4E8A-89F3-B578A4A9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KRUWIO formatka_2019_v1</Template>
  <TotalTime>0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20 lutego 2015 r</vt:lpstr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20 lutego 2015 r</dc:title>
  <dc:subject/>
  <dc:creator>Marta Sołowska</dc:creator>
  <cp:keywords/>
  <dc:description/>
  <cp:lastModifiedBy>Monika Maziak</cp:lastModifiedBy>
  <cp:revision>2</cp:revision>
  <cp:lastPrinted>2020-02-27T09:32:00Z</cp:lastPrinted>
  <dcterms:created xsi:type="dcterms:W3CDTF">2020-02-28T13:03:00Z</dcterms:created>
  <dcterms:modified xsi:type="dcterms:W3CDTF">2020-02-28T13:03:00Z</dcterms:modified>
</cp:coreProperties>
</file>