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937E3F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937E3F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C2760E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C2760E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C2760E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C2760E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C2760E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C2760E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C2760E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C2760E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C2760E">
        <w:rPr>
          <w:sz w:val="24"/>
          <w:szCs w:val="24"/>
          <w:lang w:val="en-GB"/>
        </w:rPr>
        <w:lastRenderedPageBreak/>
        <w:t xml:space="preserve">The range of activities performed by the student during his voluntary work corresponds to the practical results of education in the field of </w:t>
      </w:r>
      <w:r w:rsidR="004547E1" w:rsidRPr="00C2760E">
        <w:rPr>
          <w:b/>
          <w:sz w:val="24"/>
          <w:szCs w:val="24"/>
          <w:lang w:val="en-GB"/>
        </w:rPr>
        <w:t>PEDIATRIC</w:t>
      </w:r>
      <w:r w:rsidR="00937E3F">
        <w:rPr>
          <w:b/>
          <w:sz w:val="24"/>
          <w:szCs w:val="24"/>
          <w:lang w:val="en-GB"/>
        </w:rPr>
        <w:t>S (3)</w:t>
      </w:r>
      <w:r w:rsidRPr="00C2760E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D34DF5" w:rsidRPr="00937E3F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34DF5" w:rsidRPr="00C2760E" w:rsidRDefault="00D34DF5" w:rsidP="00D34DF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C2760E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4DF5" w:rsidRPr="00C2760E" w:rsidRDefault="00D34DF5" w:rsidP="00D34DF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C2760E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D34DF5" w:rsidRPr="00C2760E" w:rsidRDefault="00D34DF5" w:rsidP="00D34DF5">
            <w:pPr>
              <w:jc w:val="center"/>
              <w:rPr>
                <w:sz w:val="20"/>
                <w:szCs w:val="20"/>
                <w:lang w:val="en-GB"/>
              </w:rPr>
            </w:pPr>
            <w:r w:rsidRPr="00C2760E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4547E1" w:rsidRPr="00937E3F" w:rsidTr="00CF6E53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K1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E.W.1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 xml:space="preserve">Genetic, environmental  background and epidemiology of </w:t>
            </w:r>
            <w:r w:rsidR="00C2760E" w:rsidRPr="00C2760E">
              <w:rPr>
                <w:rFonts w:cstheme="minorHAnsi"/>
                <w:lang w:val="en-GB" w:eastAsia="pl-PL"/>
              </w:rPr>
              <w:t>paediatric</w:t>
            </w:r>
            <w:r w:rsidRPr="00C2760E">
              <w:rPr>
                <w:rFonts w:cstheme="minorHAnsi"/>
                <w:lang w:val="en-GB" w:eastAsia="pl-PL"/>
              </w:rPr>
              <w:t xml:space="preserve"> diseases</w:t>
            </w:r>
          </w:p>
        </w:tc>
      </w:tr>
      <w:tr w:rsidR="004547E1" w:rsidRPr="00937E3F" w:rsidTr="00CF6E53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K2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E.W.2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autoSpaceDE w:val="0"/>
              <w:autoSpaceDN w:val="0"/>
              <w:adjustRightInd w:val="0"/>
              <w:spacing w:before="40" w:line="201" w:lineRule="atLeast"/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color w:val="000000"/>
                <w:lang w:val="en-GB"/>
              </w:rPr>
              <w:t>Infant feeding in health and disease, prevention of infectious diseases, health records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K3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E.W.3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autoSpaceDE w:val="0"/>
              <w:autoSpaceDN w:val="0"/>
              <w:adjustRightInd w:val="0"/>
              <w:spacing w:before="40" w:line="201" w:lineRule="atLeast"/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 xml:space="preserve">Knows and understands the causes, symptoms, principles of diagnosis and therapeutic for the most common diseases (rickets, heart failure, acute and chronic respiratory diseases, </w:t>
            </w:r>
            <w:r w:rsidR="00C2760E" w:rsidRPr="00C2760E">
              <w:rPr>
                <w:rFonts w:cstheme="minorHAnsi"/>
                <w:color w:val="222222"/>
                <w:lang w:val="en-GB"/>
              </w:rPr>
              <w:t>anaemia</w:t>
            </w:r>
            <w:r w:rsidRPr="00C2760E">
              <w:rPr>
                <w:rFonts w:cstheme="minorHAnsi"/>
                <w:color w:val="222222"/>
                <w:lang w:val="en-GB"/>
              </w:rPr>
              <w:t>, cancer, acute and chronic abdominal pain, urinary tract infections, thyroid disease, diabetes, obesity , cerebral palsy, epilepsy, genetic syndromes, connective tissue diseases, knows the most common life-threatening conditions.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K4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EW4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color w:val="000000"/>
                <w:lang w:val="en-GB" w:eastAsia="pl-PL"/>
              </w:rPr>
              <w:t>Knows and understands the psychosomatic disorders in childhood and sexual abuse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K5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EW6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color w:val="000000"/>
                <w:lang w:val="en-GB" w:eastAsia="pl-PL"/>
              </w:rPr>
            </w:pPr>
            <w:r w:rsidRPr="00C2760E">
              <w:rPr>
                <w:rFonts w:cstheme="minorHAnsi"/>
                <w:color w:val="000000"/>
                <w:lang w:val="en-GB" w:eastAsia="pl-PL"/>
              </w:rPr>
              <w:t>Knows life-threatening diseases in children and knows how to treat them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S1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EU2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>Knows how to take history with the patient and his family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S2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lang w:val="en-GB" w:eastAsia="pl-PL"/>
              </w:rPr>
              <w:t>EU4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 w:eastAsia="pl-PL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 xml:space="preserve">Conducts examination of </w:t>
            </w:r>
            <w:r w:rsidR="00C2760E" w:rsidRPr="00C2760E">
              <w:rPr>
                <w:rFonts w:cstheme="minorHAnsi"/>
                <w:color w:val="222222"/>
                <w:lang w:val="en-GB"/>
              </w:rPr>
              <w:t>paediatric</w:t>
            </w:r>
            <w:r w:rsidRPr="00C2760E">
              <w:rPr>
                <w:rFonts w:cstheme="minorHAnsi"/>
                <w:color w:val="222222"/>
                <w:lang w:val="en-GB"/>
              </w:rPr>
              <w:t xml:space="preserve"> patient at all ages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S3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EU6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>Conducts examination of hearing and vision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S4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EU9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color w:val="222222"/>
                <w:lang w:val="en-GB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>Compare anthropometric measurements and blood pressure results with those on centile grids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S5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EU10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color w:val="222222"/>
                <w:lang w:val="en-GB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>Evaluates the degree of advancement of sexual maturation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S6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EU11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 xml:space="preserve">Conducts examination of periodic </w:t>
            </w:r>
            <w:r w:rsidR="00C2760E" w:rsidRPr="00C2760E">
              <w:rPr>
                <w:rFonts w:cstheme="minorHAnsi"/>
                <w:lang w:val="en-GB"/>
              </w:rPr>
              <w:t>paediatric</w:t>
            </w:r>
            <w:r w:rsidRPr="00C2760E">
              <w:rPr>
                <w:rFonts w:cstheme="minorHAnsi"/>
                <w:lang w:val="en-GB"/>
              </w:rPr>
              <w:t xml:space="preserve"> checking’s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S7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EU12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color w:val="222222"/>
                <w:lang w:val="en-GB"/>
              </w:rPr>
              <w:t xml:space="preserve">Conducts differential diagnosis of </w:t>
            </w:r>
            <w:r w:rsidR="00C2760E" w:rsidRPr="00C2760E">
              <w:rPr>
                <w:rFonts w:cstheme="minorHAnsi"/>
                <w:color w:val="222222"/>
                <w:lang w:val="en-GB"/>
              </w:rPr>
              <w:t>paediatric</w:t>
            </w:r>
            <w:r w:rsidRPr="00C2760E">
              <w:rPr>
                <w:rFonts w:cstheme="minorHAnsi"/>
                <w:color w:val="222222"/>
                <w:lang w:val="en-GB"/>
              </w:rPr>
              <w:t xml:space="preserve"> diseases</w:t>
            </w:r>
          </w:p>
        </w:tc>
      </w:tr>
      <w:tr w:rsidR="004547E1" w:rsidRPr="00937E3F" w:rsidTr="00AF55FB">
        <w:tc>
          <w:tcPr>
            <w:tcW w:w="1555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S8</w:t>
            </w:r>
          </w:p>
        </w:tc>
        <w:tc>
          <w:tcPr>
            <w:tcW w:w="1701" w:type="dxa"/>
            <w:vAlign w:val="center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>EU16</w:t>
            </w:r>
          </w:p>
        </w:tc>
        <w:tc>
          <w:tcPr>
            <w:tcW w:w="5811" w:type="dxa"/>
          </w:tcPr>
          <w:p w:rsidR="004547E1" w:rsidRPr="00C2760E" w:rsidRDefault="004547E1" w:rsidP="004547E1">
            <w:pPr>
              <w:rPr>
                <w:rFonts w:cstheme="minorHAnsi"/>
                <w:lang w:val="en-GB"/>
              </w:rPr>
            </w:pPr>
            <w:r w:rsidRPr="00C2760E">
              <w:rPr>
                <w:rFonts w:cstheme="minorHAnsi"/>
                <w:lang w:val="en-GB"/>
              </w:rPr>
              <w:t xml:space="preserve">Plans diagnostic , therapeutic and prevention methods </w:t>
            </w:r>
          </w:p>
        </w:tc>
      </w:tr>
      <w:tr w:rsidR="00703BF7" w:rsidRPr="00C2760E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C2760E" w:rsidRDefault="00703BF7" w:rsidP="005E11A8">
            <w:pPr>
              <w:rPr>
                <w:lang w:val="en-GB"/>
              </w:rPr>
            </w:pPr>
            <w:r w:rsidRPr="00C2760E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C2760E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C2760E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C2760E" w:rsidRDefault="00703BF7" w:rsidP="005E11A8">
            <w:pPr>
              <w:rPr>
                <w:lang w:val="en-GB"/>
              </w:rPr>
            </w:pPr>
            <w:r w:rsidRPr="00C2760E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C2760E" w:rsidRDefault="00703BF7" w:rsidP="00E46690">
            <w:pPr>
              <w:spacing w:line="360" w:lineRule="auto"/>
              <w:rPr>
                <w:lang w:val="en-GB"/>
              </w:rPr>
            </w:pPr>
            <w:r w:rsidRPr="00C2760E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937E3F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C2760E" w:rsidRDefault="00703BF7" w:rsidP="005E11A8">
            <w:pPr>
              <w:rPr>
                <w:lang w:val="en-GB"/>
              </w:rPr>
            </w:pPr>
            <w:r w:rsidRPr="00C2760E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C2760E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937E3F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E46690" w:rsidRDefault="00703BF7" w:rsidP="005E11A8">
            <w:pPr>
              <w:rPr>
                <w:lang w:val="en-US"/>
              </w:rPr>
            </w:pPr>
            <w:r w:rsidRPr="00E46690">
              <w:rPr>
                <w:lang w:val="en-US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E46690" w:rsidRDefault="00703BF7" w:rsidP="005E11A8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2B0E00" w:rsidRPr="0079218D" w:rsidRDefault="002B0E00">
      <w:pPr>
        <w:rPr>
          <w:lang w:val="en-US"/>
        </w:rPr>
      </w:pPr>
    </w:p>
    <w:sectPr w:rsidR="002B0E00" w:rsidRPr="007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2B0E00"/>
    <w:rsid w:val="004319A7"/>
    <w:rsid w:val="004547E1"/>
    <w:rsid w:val="004A3165"/>
    <w:rsid w:val="00703BF7"/>
    <w:rsid w:val="0079218D"/>
    <w:rsid w:val="00937E3F"/>
    <w:rsid w:val="00957B95"/>
    <w:rsid w:val="00C2760E"/>
    <w:rsid w:val="00C62B7E"/>
    <w:rsid w:val="00D34DF5"/>
    <w:rsid w:val="00D36535"/>
    <w:rsid w:val="00D516A8"/>
    <w:rsid w:val="00DB60DE"/>
    <w:rsid w:val="00DF146C"/>
    <w:rsid w:val="00E46690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2020-11-14T08:22:00Z</dcterms:created>
  <dcterms:modified xsi:type="dcterms:W3CDTF">2020-11-14T08:22:00Z</dcterms:modified>
</cp:coreProperties>
</file>