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71" w:rsidRPr="00C76271" w:rsidRDefault="00C76271" w:rsidP="00C76271">
      <w:pPr>
        <w:spacing w:after="0" w:line="240" w:lineRule="auto"/>
        <w:ind w:firstLine="4394"/>
        <w:rPr>
          <w:rFonts w:ascii="Calibri" w:eastAsia="Times New Roman" w:hAnsi="Calibri" w:cs="Calibri"/>
          <w:b/>
          <w:szCs w:val="24"/>
          <w:lang w:eastAsia="pl-PL"/>
        </w:rPr>
      </w:pPr>
      <w:r w:rsidRPr="00C76271">
        <w:rPr>
          <w:rFonts w:ascii="Calibri" w:eastAsia="Times New Roman" w:hAnsi="Calibri" w:cs="Calibri"/>
          <w:b/>
          <w:szCs w:val="24"/>
          <w:lang w:eastAsia="pl-PL"/>
        </w:rPr>
        <w:t>Załącznik NR 2</w:t>
      </w:r>
    </w:p>
    <w:p w:rsidR="00C76271" w:rsidRPr="00C76271" w:rsidRDefault="00C76271" w:rsidP="00C76271">
      <w:pPr>
        <w:spacing w:after="0" w:line="240" w:lineRule="auto"/>
        <w:ind w:left="4395" w:hanging="1"/>
        <w:rPr>
          <w:rFonts w:ascii="Calibri" w:eastAsia="Times New Roman" w:hAnsi="Calibri" w:cs="Calibri"/>
          <w:szCs w:val="24"/>
          <w:lang w:eastAsia="pl-PL"/>
        </w:rPr>
      </w:pPr>
      <w:r w:rsidRPr="00C76271">
        <w:rPr>
          <w:rFonts w:ascii="Calibri" w:eastAsia="Times New Roman" w:hAnsi="Calibri" w:cs="Calibri"/>
          <w:szCs w:val="24"/>
          <w:lang w:eastAsia="pl-PL"/>
        </w:rPr>
        <w:t>do „</w:t>
      </w:r>
      <w:r w:rsidRPr="00C76271">
        <w:rPr>
          <w:rFonts w:ascii="Calibri" w:eastAsia="Times New Roman" w:hAnsi="Calibri" w:cs="Calibri"/>
          <w:color w:val="0D0D0D"/>
          <w:szCs w:val="24"/>
          <w:lang w:eastAsia="pl-PL"/>
        </w:rPr>
        <w:t>Wewnętrznej procedury w zakresie przeciwdziałania niewywiązywaniu (…)”</w:t>
      </w:r>
    </w:p>
    <w:p w:rsidR="00C76271" w:rsidRPr="00C76271" w:rsidRDefault="00C76271" w:rsidP="00C76271">
      <w:pPr>
        <w:spacing w:after="0" w:line="240" w:lineRule="auto"/>
        <w:ind w:left="4395" w:hanging="1"/>
        <w:rPr>
          <w:rFonts w:ascii="Calibri" w:eastAsia="Times New Roman" w:hAnsi="Calibri" w:cs="Calibri"/>
          <w:szCs w:val="24"/>
          <w:lang w:eastAsia="pl-PL"/>
        </w:rPr>
      </w:pPr>
      <w:r w:rsidRPr="00C76271">
        <w:rPr>
          <w:rFonts w:ascii="Calibri" w:eastAsia="Times New Roman" w:hAnsi="Calibri" w:cs="Calibri"/>
          <w:szCs w:val="24"/>
          <w:lang w:eastAsia="pl-PL"/>
        </w:rPr>
        <w:t xml:space="preserve">(załącznik do zarządzenia nr 292/XVI R/ 2020 </w:t>
      </w:r>
    </w:p>
    <w:p w:rsidR="00C76271" w:rsidRPr="00C76271" w:rsidRDefault="00C76271" w:rsidP="00C76271">
      <w:pPr>
        <w:spacing w:after="0" w:line="240" w:lineRule="auto"/>
        <w:ind w:firstLine="4394"/>
        <w:rPr>
          <w:rFonts w:ascii="Calibri" w:eastAsia="Times New Roman" w:hAnsi="Calibri" w:cs="Calibri"/>
          <w:szCs w:val="24"/>
          <w:lang w:eastAsia="pl-PL"/>
        </w:rPr>
      </w:pPr>
      <w:r w:rsidRPr="00C76271">
        <w:rPr>
          <w:rFonts w:ascii="Calibri" w:eastAsia="Times New Roman" w:hAnsi="Calibri" w:cs="Calibri"/>
          <w:szCs w:val="24"/>
          <w:lang w:eastAsia="pl-PL"/>
        </w:rPr>
        <w:t xml:space="preserve">Rektora Uniwersytetu Medycznego we Wrocławiu </w:t>
      </w:r>
    </w:p>
    <w:p w:rsidR="00C76271" w:rsidRPr="00C76271" w:rsidRDefault="00C76271" w:rsidP="00C76271">
      <w:pPr>
        <w:spacing w:after="240" w:line="240" w:lineRule="auto"/>
        <w:ind w:firstLine="4394"/>
        <w:rPr>
          <w:rFonts w:ascii="Calibri" w:eastAsia="Times New Roman" w:hAnsi="Calibri" w:cs="Calibri"/>
          <w:szCs w:val="24"/>
          <w:lang w:eastAsia="pl-PL"/>
        </w:rPr>
      </w:pPr>
      <w:r w:rsidRPr="00C76271">
        <w:rPr>
          <w:rFonts w:ascii="Calibri" w:eastAsia="Times New Roman" w:hAnsi="Calibri" w:cs="Calibri"/>
          <w:szCs w:val="24"/>
          <w:lang w:eastAsia="pl-PL"/>
        </w:rPr>
        <w:t>z dnia 30 grudnia 2020 r.)</w:t>
      </w:r>
    </w:p>
    <w:p w:rsidR="00C76271" w:rsidRPr="00C76271" w:rsidRDefault="00C76271" w:rsidP="00C76271">
      <w:pPr>
        <w:spacing w:after="0" w:line="360" w:lineRule="auto"/>
        <w:jc w:val="center"/>
        <w:rPr>
          <w:rFonts w:ascii="Calibri" w:eastAsia="Times New Roman" w:hAnsi="Calibri" w:cs="Calibri"/>
          <w:i/>
          <w:sz w:val="24"/>
          <w:szCs w:val="24"/>
          <w:lang w:eastAsia="pl-PL"/>
        </w:rPr>
      </w:pPr>
      <w:r w:rsidRPr="00C76271">
        <w:rPr>
          <w:rFonts w:ascii="Calibri" w:eastAsia="Times New Roman" w:hAnsi="Calibri" w:cs="Calibri"/>
          <w:i/>
          <w:sz w:val="24"/>
          <w:szCs w:val="24"/>
          <w:lang w:eastAsia="pl-PL"/>
        </w:rPr>
        <w:t>Kryterium głównej korzyści i cechy rozpoznawcze</w:t>
      </w:r>
    </w:p>
    <w:p w:rsidR="00C76271" w:rsidRPr="00C76271" w:rsidRDefault="00C76271" w:rsidP="00C76271">
      <w:pPr>
        <w:spacing w:after="0" w:line="360" w:lineRule="auto"/>
        <w:jc w:val="center"/>
        <w:rPr>
          <w:rFonts w:ascii="Calibri" w:eastAsia="Times New Roman" w:hAnsi="Calibri" w:cs="Calibri"/>
          <w:i/>
          <w:sz w:val="24"/>
          <w:szCs w:val="24"/>
          <w:lang w:eastAsia="pl-PL"/>
        </w:rPr>
      </w:pPr>
    </w:p>
    <w:tbl>
      <w:tblPr>
        <w:tblW w:w="0" w:type="auto"/>
        <w:tblInd w:w="70" w:type="dxa"/>
        <w:tblCellMar>
          <w:left w:w="10" w:type="dxa"/>
          <w:right w:w="10" w:type="dxa"/>
        </w:tblCellMar>
        <w:tblLook w:val="04A0" w:firstRow="1" w:lastRow="0" w:firstColumn="1" w:lastColumn="0" w:noHBand="0" w:noVBand="1"/>
      </w:tblPr>
      <w:tblGrid>
        <w:gridCol w:w="6603"/>
        <w:gridCol w:w="1115"/>
        <w:gridCol w:w="1424"/>
      </w:tblGrid>
      <w:tr w:rsidR="00C76271" w:rsidRPr="00C76271" w:rsidTr="00B518BD">
        <w:tc>
          <w:tcPr>
            <w:tcW w:w="6800" w:type="dxa"/>
            <w:tcBorders>
              <w:top w:val="single" w:sz="4" w:space="0" w:color="000000"/>
              <w:left w:val="single" w:sz="4" w:space="0" w:color="000000"/>
              <w:bottom w:val="single" w:sz="4" w:space="0" w:color="000000"/>
              <w:right w:val="single" w:sz="4" w:space="0" w:color="000000"/>
            </w:tcBorders>
            <w:shd w:val="clear" w:color="000000" w:fill="D9E1F2"/>
            <w:tcMar>
              <w:left w:w="70" w:type="dxa"/>
              <w:right w:w="70" w:type="dxa"/>
            </w:tcMar>
            <w:vAlign w:val="center"/>
          </w:tcPr>
          <w:p w:rsidR="00C76271" w:rsidRPr="00C76271" w:rsidRDefault="00C76271" w:rsidP="00C76271">
            <w:pPr>
              <w:spacing w:after="0" w:line="360" w:lineRule="auto"/>
              <w:jc w:val="center"/>
              <w:rPr>
                <w:rFonts w:ascii="Calibri" w:eastAsia="Times New Roman" w:hAnsi="Calibri" w:cs="Calibri"/>
                <w:b/>
                <w:color w:val="000000"/>
                <w:sz w:val="24"/>
                <w:szCs w:val="24"/>
                <w:lang w:eastAsia="pl-PL"/>
              </w:rPr>
            </w:pPr>
            <w:r w:rsidRPr="00C76271">
              <w:rPr>
                <w:rFonts w:ascii="Calibri" w:eastAsia="Times New Roman" w:hAnsi="Calibri" w:cs="Calibri"/>
                <w:b/>
                <w:color w:val="000000"/>
                <w:sz w:val="24"/>
                <w:szCs w:val="24"/>
                <w:lang w:eastAsia="pl-PL"/>
              </w:rPr>
              <w:t>Kryterium głównej korzyści:</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wymaga także spełnienia ogólnej cechy rozpoznawczej,</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stosowane jest zarówno do schematów krajowych, jak i transgranicznych</w:t>
            </w:r>
          </w:p>
        </w:tc>
        <w:tc>
          <w:tcPr>
            <w:tcW w:w="1066" w:type="dxa"/>
            <w:tcBorders>
              <w:top w:val="single" w:sz="4" w:space="0" w:color="000000"/>
              <w:left w:val="single" w:sz="4" w:space="0" w:color="000000"/>
              <w:bottom w:val="single" w:sz="4" w:space="0" w:color="000000"/>
              <w:right w:val="single" w:sz="4" w:space="0" w:color="000000"/>
            </w:tcBorders>
            <w:shd w:val="clear" w:color="000000" w:fill="D9E1F2"/>
            <w:tcMar>
              <w:left w:w="70" w:type="dxa"/>
              <w:right w:w="70" w:type="dxa"/>
            </w:tcMar>
          </w:tcPr>
          <w:p w:rsidR="00C76271" w:rsidRPr="00C76271" w:rsidRDefault="00C76271" w:rsidP="00C76271">
            <w:pPr>
              <w:spacing w:after="0" w:line="360" w:lineRule="auto"/>
              <w:jc w:val="center"/>
              <w:rPr>
                <w:rFonts w:ascii="Calibri" w:eastAsia="Times New Roman" w:hAnsi="Calibri" w:cs="Calibri"/>
                <w:b/>
                <w:color w:val="000000"/>
                <w:sz w:val="24"/>
                <w:szCs w:val="24"/>
                <w:lang w:eastAsia="pl-PL"/>
              </w:rPr>
            </w:pPr>
            <w:r w:rsidRPr="00C76271">
              <w:rPr>
                <w:rFonts w:ascii="Calibri" w:eastAsia="Times New Roman" w:hAnsi="Calibri" w:cs="Calibri"/>
                <w:b/>
                <w:color w:val="000000"/>
                <w:sz w:val="24"/>
                <w:szCs w:val="24"/>
                <w:lang w:eastAsia="pl-PL"/>
              </w:rPr>
              <w:t>spełnione</w:t>
            </w:r>
          </w:p>
          <w:p w:rsidR="00C76271" w:rsidRPr="00C76271" w:rsidRDefault="00C76271" w:rsidP="00C76271">
            <w:pPr>
              <w:spacing w:after="0" w:line="360" w:lineRule="auto"/>
              <w:jc w:val="center"/>
              <w:rPr>
                <w:rFonts w:ascii="Calibri" w:eastAsia="Times New Roman" w:hAnsi="Calibri" w:cs="Calibri"/>
                <w:sz w:val="24"/>
                <w:szCs w:val="24"/>
                <w:lang w:eastAsia="pl-PL"/>
              </w:rPr>
            </w:pPr>
            <w:r w:rsidRPr="00C76271">
              <w:rPr>
                <w:rFonts w:ascii="Calibri" w:eastAsia="Times New Roman" w:hAnsi="Calibri" w:cs="Calibri"/>
                <w:b/>
                <w:color w:val="000000"/>
                <w:sz w:val="24"/>
                <w:szCs w:val="24"/>
                <w:lang w:eastAsia="pl-PL"/>
              </w:rPr>
              <w:t>(tak)</w:t>
            </w:r>
          </w:p>
        </w:tc>
        <w:tc>
          <w:tcPr>
            <w:tcW w:w="1196" w:type="dxa"/>
            <w:tcBorders>
              <w:top w:val="single" w:sz="4" w:space="0" w:color="000000"/>
              <w:left w:val="single" w:sz="4" w:space="0" w:color="000000"/>
              <w:bottom w:val="single" w:sz="4" w:space="0" w:color="000000"/>
              <w:right w:val="single" w:sz="4" w:space="0" w:color="000000"/>
            </w:tcBorders>
            <w:shd w:val="clear" w:color="000000" w:fill="D9E1F2"/>
            <w:tcMar>
              <w:left w:w="70" w:type="dxa"/>
              <w:right w:w="70" w:type="dxa"/>
            </w:tcMar>
          </w:tcPr>
          <w:p w:rsidR="00C76271" w:rsidRPr="00C76271" w:rsidRDefault="00C76271" w:rsidP="00C76271">
            <w:pPr>
              <w:spacing w:after="0" w:line="360" w:lineRule="auto"/>
              <w:jc w:val="center"/>
              <w:rPr>
                <w:rFonts w:ascii="Calibri" w:eastAsia="Times New Roman" w:hAnsi="Calibri" w:cs="Calibri"/>
                <w:b/>
                <w:color w:val="000000"/>
                <w:sz w:val="24"/>
                <w:szCs w:val="24"/>
                <w:lang w:eastAsia="pl-PL"/>
              </w:rPr>
            </w:pPr>
            <w:r w:rsidRPr="00C76271">
              <w:rPr>
                <w:rFonts w:ascii="Calibri" w:eastAsia="Times New Roman" w:hAnsi="Calibri" w:cs="Calibri"/>
                <w:b/>
                <w:color w:val="000000"/>
                <w:sz w:val="24"/>
                <w:szCs w:val="24"/>
                <w:lang w:eastAsia="pl-PL"/>
              </w:rPr>
              <w:t>niespełnione</w:t>
            </w:r>
          </w:p>
          <w:p w:rsidR="00C76271" w:rsidRPr="00C76271" w:rsidRDefault="00C76271" w:rsidP="00C76271">
            <w:pPr>
              <w:spacing w:after="0" w:line="360" w:lineRule="auto"/>
              <w:jc w:val="center"/>
              <w:rPr>
                <w:rFonts w:ascii="Calibri" w:eastAsia="Times New Roman" w:hAnsi="Calibri" w:cs="Calibri"/>
                <w:sz w:val="24"/>
                <w:szCs w:val="24"/>
                <w:lang w:eastAsia="pl-PL"/>
              </w:rPr>
            </w:pPr>
            <w:r w:rsidRPr="00C76271">
              <w:rPr>
                <w:rFonts w:ascii="Calibri" w:eastAsia="Times New Roman" w:hAnsi="Calibri" w:cs="Calibri"/>
                <w:b/>
                <w:color w:val="000000"/>
                <w:sz w:val="24"/>
                <w:szCs w:val="24"/>
                <w:lang w:eastAsia="pl-PL"/>
              </w:rPr>
              <w:t xml:space="preserve">(nie)  </w:t>
            </w:r>
          </w:p>
        </w:tc>
      </w:tr>
      <w:tr w:rsidR="00C76271" w:rsidRPr="00C76271" w:rsidTr="00B518BD">
        <w:tc>
          <w:tcPr>
            <w:tcW w:w="680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6271" w:rsidRPr="00C76271" w:rsidRDefault="00C76271" w:rsidP="00C76271">
            <w:pPr>
              <w:spacing w:after="0" w:line="360" w:lineRule="auto"/>
              <w:jc w:val="both"/>
              <w:rPr>
                <w:rFonts w:ascii="Calibri" w:eastAsia="Times New Roman" w:hAnsi="Calibri" w:cs="Calibri"/>
                <w:sz w:val="24"/>
                <w:szCs w:val="24"/>
                <w:lang w:eastAsia="pl-PL"/>
              </w:rPr>
            </w:pPr>
            <w:r w:rsidRPr="00C76271">
              <w:rPr>
                <w:rFonts w:ascii="Calibri" w:eastAsia="Times New Roman" w:hAnsi="Calibri" w:cs="Calibri"/>
                <w:color w:val="000000"/>
                <w:sz w:val="24"/>
                <w:szCs w:val="24"/>
                <w:lang w:eastAsia="pl-PL"/>
              </w:rPr>
              <w:t>Kryterium głównej korzyści uważa się za spełnione jeżeli na podstawie istniejących okoliczności oraz faktów należy przyjąć, że podmiot działający rozsądnie i kierujący się zgodnymi z prawem celami innymi niż osiągnięcie korzyści podatkowej mógłby zasadnie wybrać inny sposób postępowania, z którym nie wiązałoby się uzyskanie korzyści podatkowej rozsądnie oczekiwanej lub wynikającej z wykonania uzgodnienia, a korzyść podatkowa jest główną lub jedną z głównych korzyści, którą podmiot spodziewa się osiągnąć w związku z wykonaniem uzgodnienia.</w:t>
            </w:r>
          </w:p>
        </w:tc>
        <w:tc>
          <w:tcPr>
            <w:tcW w:w="106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C76271" w:rsidRPr="00C76271" w:rsidRDefault="00C76271" w:rsidP="00C76271">
            <w:pPr>
              <w:spacing w:after="0" w:line="360" w:lineRule="auto"/>
              <w:jc w:val="both"/>
              <w:rPr>
                <w:rFonts w:ascii="Calibri" w:eastAsia="Calibri" w:hAnsi="Calibri" w:cs="Calibri"/>
                <w:sz w:val="24"/>
                <w:szCs w:val="24"/>
                <w:lang w:eastAsia="pl-PL"/>
              </w:rPr>
            </w:pPr>
          </w:p>
        </w:tc>
        <w:tc>
          <w:tcPr>
            <w:tcW w:w="119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C76271" w:rsidRPr="00C76271" w:rsidRDefault="00C76271" w:rsidP="00C76271">
            <w:pPr>
              <w:spacing w:after="0" w:line="360" w:lineRule="auto"/>
              <w:jc w:val="both"/>
              <w:rPr>
                <w:rFonts w:ascii="Calibri" w:eastAsia="Calibri" w:hAnsi="Calibri" w:cs="Calibri"/>
                <w:sz w:val="24"/>
                <w:szCs w:val="24"/>
                <w:lang w:eastAsia="pl-PL"/>
              </w:rPr>
            </w:pPr>
          </w:p>
        </w:tc>
      </w:tr>
      <w:tr w:rsidR="00C76271" w:rsidRPr="00C76271" w:rsidTr="00B518BD">
        <w:tc>
          <w:tcPr>
            <w:tcW w:w="6800"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vAlign w:val="center"/>
          </w:tcPr>
          <w:p w:rsidR="00C76271" w:rsidRPr="00C76271" w:rsidRDefault="00C76271" w:rsidP="00C76271">
            <w:pPr>
              <w:spacing w:after="0" w:line="360" w:lineRule="auto"/>
              <w:jc w:val="center"/>
              <w:rPr>
                <w:rFonts w:ascii="Calibri" w:eastAsia="Times New Roman" w:hAnsi="Calibri" w:cs="Calibri"/>
                <w:b/>
                <w:color w:val="000000"/>
                <w:sz w:val="24"/>
                <w:szCs w:val="24"/>
                <w:lang w:eastAsia="pl-PL"/>
              </w:rPr>
            </w:pPr>
            <w:r w:rsidRPr="00C76271">
              <w:rPr>
                <w:rFonts w:ascii="Calibri" w:eastAsia="Times New Roman" w:hAnsi="Calibri" w:cs="Calibri"/>
                <w:b/>
                <w:color w:val="000000"/>
                <w:sz w:val="24"/>
                <w:szCs w:val="24"/>
                <w:lang w:eastAsia="pl-PL"/>
              </w:rPr>
              <w:t>Ogólna cecha rozpoznawcza</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wymaga także spełnienia kryterium głównej korzyści,</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stosowane jest zarówno do schematów krajowych, jak i transgranicznych</w:t>
            </w:r>
          </w:p>
        </w:tc>
        <w:tc>
          <w:tcPr>
            <w:tcW w:w="1066"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tcPr>
          <w:p w:rsidR="00C76271" w:rsidRPr="00C76271" w:rsidRDefault="00C76271" w:rsidP="00C76271">
            <w:pPr>
              <w:spacing w:after="0" w:line="360" w:lineRule="auto"/>
              <w:jc w:val="center"/>
              <w:rPr>
                <w:rFonts w:ascii="Calibri" w:eastAsia="Calibri" w:hAnsi="Calibri" w:cs="Calibri"/>
                <w:sz w:val="24"/>
                <w:szCs w:val="24"/>
                <w:lang w:eastAsia="pl-PL"/>
              </w:rPr>
            </w:pPr>
          </w:p>
        </w:tc>
        <w:tc>
          <w:tcPr>
            <w:tcW w:w="1196"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tcPr>
          <w:p w:rsidR="00C76271" w:rsidRPr="00C76271" w:rsidRDefault="00C76271" w:rsidP="00C76271">
            <w:pPr>
              <w:spacing w:after="0" w:line="360" w:lineRule="auto"/>
              <w:jc w:val="center"/>
              <w:rPr>
                <w:rFonts w:ascii="Calibri" w:eastAsia="Calibri" w:hAnsi="Calibri" w:cs="Calibri"/>
                <w:sz w:val="24"/>
                <w:szCs w:val="24"/>
                <w:lang w:eastAsia="pl-PL"/>
              </w:rPr>
            </w:pPr>
          </w:p>
        </w:tc>
      </w:tr>
      <w:tr w:rsidR="00C76271" w:rsidRPr="00C76271" w:rsidTr="00B518BD">
        <w:tc>
          <w:tcPr>
            <w:tcW w:w="680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a) promotor lub korzystający zobowiązali się do zachowania w poufności wobec osób trzecich, w szczególności wobec innych korzystających, promotorów lub organów podatkowych, sposobu, w jaki uzgodnienie pozwala na uzyskanie korzyści podatkowej,</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b) promotor uprawniony jest do otrzymania wynagrodzenia, którego wysokość uzależniona jest od wysokości korzyści podatkowej wynikającej z uzgodnienia,</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lastRenderedPageBreak/>
              <w:t>c) promotor uprawniony jest do otrzymania wynagrodzenia uzależnionego od uzyskania korzyści podatkowej wynikającej z uzgodnienia lub zobowiązał się do zwrotu wynagrodzenia lub jego części, w przypadku gdy korzyść podatkowa nie powstanie lub powstanie w wysokości niższej, niż zakładano,</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d) dokonywane w ramach uzgodnienia czynności opierają się na znacznie ujednoliconej dokumentacji albo przyjmują znacznie ujednoliconą formę, które nie wymagają istotnych zmian w celu wdrożenia schematu u więcej niż jednego korzystającego,</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e) podejmowane są celowe czynności dotyczące nabycia spółki przynoszącej straty, zaprzestania głównej działalności takiej spółki i wykorzystywania strat takiej spółki w celu zmniejszenia zobowiązań podatkowych, w tym poprzez przeniesienie tych strat do podmiotu na terytorium innego państwa lub przyspieszenie wykorzystania tych strat,</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f) dochodzi do zmiany kwalifikacji dochodów (przychodów) do innego źródła dochodów (przychodów) lub zmiany zasad opodatkowania, których skutkiem jest faktycznie niższe opodatkowanie, zwolnienie lub wyłączenie z opodatkowania,</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g) czynności prowadzą do okrężnego obiegu środków pieniężnych poprzez zaangażowanie podmiotów pośredniczących niepełniących istotnych funkcji gospodarczych lub działań, które wzajemnie się znoszą lub kompensują lub prowadzą do uzyskania stanu identycznego lub zbliżonego do stanu istniejącego przed dokonaniem tych czynności albo mają inne podobne cechy,</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xml:space="preserve">h) obejmuje ono podlegające zaliczeniu do kosztów uzyskania przychodów transgraniczne płatności pomiędzy podmiotami powiązanymi, a w państwie miejsca zamieszkania, siedziby lub </w:t>
            </w:r>
            <w:r w:rsidRPr="00C76271">
              <w:rPr>
                <w:rFonts w:ascii="Calibri" w:eastAsia="Times New Roman" w:hAnsi="Calibri" w:cs="Calibri"/>
                <w:color w:val="000000"/>
                <w:sz w:val="24"/>
                <w:szCs w:val="24"/>
                <w:lang w:eastAsia="pl-PL"/>
              </w:rPr>
              <w:lastRenderedPageBreak/>
              <w:t>zarządu odbiorcy:</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xml:space="preserve">- nie nakłada się podatku dochodowego od osób prawnych lub pobiera się podatek dochodowy od osób prawnych według stawki zerowej lub stawki mniejszej niż 5%, </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płatności te korzystają z całkowitego zwolnienia lub objęte są preferencyjnymi zasadami opodatkowania,</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i) korzystający zobowiązał się, że w przypadku wdrożenia uzgodnienia będzie współpracował z promotorem, który udostępnił uzgodnienie, albo zapłaci promotorowi wynagrodzenie lub odszkodowanie,</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j) promotor lub korzystający faktycznie respektują co najmniej jedno z zobowiązań wskazanych w lit. b i c,</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sz w:val="24"/>
                <w:szCs w:val="24"/>
                <w:lang w:eastAsia="pl-PL"/>
              </w:rPr>
            </w:pPr>
            <w:r w:rsidRPr="00C76271">
              <w:rPr>
                <w:rFonts w:ascii="Calibri" w:eastAsia="Times New Roman" w:hAnsi="Calibri" w:cs="Calibri"/>
                <w:color w:val="000000"/>
                <w:sz w:val="24"/>
                <w:szCs w:val="24"/>
                <w:lang w:eastAsia="pl-PL"/>
              </w:rPr>
              <w:t>k) na podstawie istniejących okoliczności należy przyjąć, że rozsądnie działający promotor lub korzystający, do których nie stosowałyby się obowiązki przewidziane w przepisach niniejszego rozdziału, chcieliby, żeby co najmniej jedno ze zobowiązań wskazanych w lit. a-c było faktycznie respektowane;</w:t>
            </w:r>
          </w:p>
        </w:tc>
        <w:tc>
          <w:tcPr>
            <w:tcW w:w="106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C76271" w:rsidRPr="00C76271" w:rsidRDefault="00C76271" w:rsidP="00C76271">
            <w:pPr>
              <w:spacing w:after="0" w:line="360" w:lineRule="auto"/>
              <w:jc w:val="both"/>
              <w:rPr>
                <w:rFonts w:ascii="Calibri" w:eastAsia="Calibri" w:hAnsi="Calibri" w:cs="Calibri"/>
                <w:sz w:val="24"/>
                <w:szCs w:val="24"/>
                <w:lang w:eastAsia="pl-PL"/>
              </w:rPr>
            </w:pPr>
          </w:p>
        </w:tc>
        <w:tc>
          <w:tcPr>
            <w:tcW w:w="119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C76271" w:rsidRPr="00C76271" w:rsidRDefault="00C76271" w:rsidP="00C76271">
            <w:pPr>
              <w:spacing w:after="0" w:line="360" w:lineRule="auto"/>
              <w:ind w:left="357"/>
              <w:jc w:val="both"/>
              <w:rPr>
                <w:rFonts w:ascii="Calibri" w:eastAsia="Calibri" w:hAnsi="Calibri" w:cs="Calibri"/>
                <w:sz w:val="24"/>
                <w:szCs w:val="24"/>
                <w:lang w:eastAsia="pl-PL"/>
              </w:rPr>
            </w:pPr>
          </w:p>
        </w:tc>
      </w:tr>
      <w:tr w:rsidR="00C76271" w:rsidRPr="00C76271" w:rsidTr="00B518BD">
        <w:tc>
          <w:tcPr>
            <w:tcW w:w="6800"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vAlign w:val="center"/>
          </w:tcPr>
          <w:p w:rsidR="00C76271" w:rsidRPr="00C76271" w:rsidRDefault="00C76271" w:rsidP="00C76271">
            <w:pPr>
              <w:spacing w:after="0" w:line="360" w:lineRule="auto"/>
              <w:jc w:val="center"/>
              <w:rPr>
                <w:rFonts w:ascii="Calibri" w:eastAsia="Times New Roman" w:hAnsi="Calibri" w:cs="Calibri"/>
                <w:b/>
                <w:color w:val="000000"/>
                <w:sz w:val="24"/>
                <w:szCs w:val="24"/>
                <w:lang w:eastAsia="pl-PL"/>
              </w:rPr>
            </w:pPr>
            <w:r w:rsidRPr="00C76271">
              <w:rPr>
                <w:rFonts w:ascii="Calibri" w:eastAsia="Times New Roman" w:hAnsi="Calibri" w:cs="Calibri"/>
                <w:b/>
                <w:color w:val="000000"/>
                <w:sz w:val="24"/>
                <w:szCs w:val="24"/>
                <w:lang w:eastAsia="pl-PL"/>
              </w:rPr>
              <w:lastRenderedPageBreak/>
              <w:t>Szczególna cecha rozpoznawcza</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samodzielnie przesądza o powstaniu schematu podatkowego,</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stosowane jest zarówno do schematów krajowych, jak i transgranicznych</w:t>
            </w:r>
          </w:p>
        </w:tc>
        <w:tc>
          <w:tcPr>
            <w:tcW w:w="1066"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tcPr>
          <w:p w:rsidR="00C76271" w:rsidRPr="00C76271" w:rsidRDefault="00C76271" w:rsidP="00C76271">
            <w:pPr>
              <w:spacing w:after="0" w:line="360" w:lineRule="auto"/>
              <w:jc w:val="center"/>
              <w:rPr>
                <w:rFonts w:ascii="Calibri" w:eastAsia="Calibri" w:hAnsi="Calibri" w:cs="Calibri"/>
                <w:sz w:val="24"/>
                <w:szCs w:val="24"/>
                <w:lang w:eastAsia="pl-PL"/>
              </w:rPr>
            </w:pPr>
          </w:p>
        </w:tc>
        <w:tc>
          <w:tcPr>
            <w:tcW w:w="1196"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tcPr>
          <w:p w:rsidR="00C76271" w:rsidRPr="00C76271" w:rsidRDefault="00C76271" w:rsidP="00C76271">
            <w:pPr>
              <w:spacing w:after="0" w:line="360" w:lineRule="auto"/>
              <w:jc w:val="center"/>
              <w:rPr>
                <w:rFonts w:ascii="Calibri" w:eastAsia="Calibri" w:hAnsi="Calibri" w:cs="Calibri"/>
                <w:sz w:val="24"/>
                <w:szCs w:val="24"/>
                <w:lang w:eastAsia="pl-PL"/>
              </w:rPr>
            </w:pPr>
          </w:p>
        </w:tc>
      </w:tr>
      <w:tr w:rsidR="00C76271" w:rsidRPr="00C76271" w:rsidTr="00B518BD">
        <w:tc>
          <w:tcPr>
            <w:tcW w:w="680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a) obejmuje podlegające zaliczeniu do kosztów uzyskania przychodów transgraniczne płatności pomiędzy podmiotami powiązanymi oraz:</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odbiorca płatności nie ma miejsca zamieszkania, siedziby ani zarządu w żadnym z państw,</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xml:space="preserve">- odbiorca płatności posiada miejsce zamieszkania, siedzibę lub zarząd na terytorium lub w kraju stosującym szkodliwą konkurencję podatkową, określonych na podstawie przepisów o podatku dochodowym od osób fizycznych oraz przepisów o </w:t>
            </w:r>
            <w:r w:rsidRPr="00C76271">
              <w:rPr>
                <w:rFonts w:ascii="Calibri" w:eastAsia="Times New Roman" w:hAnsi="Calibri" w:cs="Calibri"/>
                <w:color w:val="000000"/>
                <w:sz w:val="24"/>
                <w:szCs w:val="24"/>
                <w:lang w:eastAsia="pl-PL"/>
              </w:rPr>
              <w:lastRenderedPageBreak/>
              <w:t>podatku dochodowym od osób prawnych,</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b) w odniesieniu do tego samego środka trwałego lub wartości niematerialnej i prawnej dokonywane są odpisy amortyzacyjne w więcej niż jednym państwie,</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c) ten sam dochód lub majątek korzysta z metod mających na celu unikanie podwójnego opodatkowania w więcej niż jednym państwie,</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d) w ramach uzgodnienia dochodzi do przeniesienia aktywów i określone przez dwa państwa wynagrodzenie z tego tytułu dla celów podatkowych różni się co najmniej o 25%,</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e) może skutkować obejściem obowiązku raportowania wynikającego z ustawy z dnia 9 marca 2017 r. o wymianie informacji podatkowych z innymi państwami (</w:t>
            </w:r>
            <w:proofErr w:type="spellStart"/>
            <w:r w:rsidRPr="00C76271">
              <w:rPr>
                <w:rFonts w:ascii="Calibri" w:eastAsia="Times New Roman" w:hAnsi="Calibri" w:cs="Calibri"/>
                <w:color w:val="000000"/>
                <w:sz w:val="24"/>
                <w:szCs w:val="24"/>
                <w:lang w:eastAsia="pl-PL"/>
              </w:rPr>
              <w:t>t.j</w:t>
            </w:r>
            <w:proofErr w:type="spellEnd"/>
            <w:r w:rsidRPr="00C76271">
              <w:rPr>
                <w:rFonts w:ascii="Calibri" w:eastAsia="Times New Roman" w:hAnsi="Calibri" w:cs="Calibri"/>
                <w:color w:val="000000"/>
                <w:sz w:val="24"/>
                <w:szCs w:val="24"/>
                <w:lang w:eastAsia="pl-PL"/>
              </w:rPr>
              <w:t>. Dz.U. 2020, poz. 343, ze zm.) lub równoważnych ustaw, umów lub porozumień w zakresie automatycznej wymiany informacji o rachunkach finansowych, włączając umowy lub porozumienia z państwami trzecimi lub wykorzystywać brak równoważnych przepisów, umów lub porozumień lub ich niewłaściwe wdrożenie,</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xml:space="preserve">f) występuje nieprzejrzysta struktura własności prawnej lub trudny do ustalenia jest beneficjent rzeczywisty z uwagi na wykorzystanie osób prawnych oraz jednostek organizacyjnych niemających osobowości prawnej, konstrukcji lub struktur prawnych: </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xml:space="preserve">- które nie prowadzą znaczącej działalności gospodarczej z wykorzystaniem lokalu, personelu oraz wyposażenia wykorzystywanego w prowadzonej działalności gospodarczej, </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xml:space="preserve">- które są zarejestrowane, zarządzane, znajdują się, są kontrolowane lub założone w państwie lub na terytorium innym </w:t>
            </w:r>
            <w:r w:rsidRPr="00C76271">
              <w:rPr>
                <w:rFonts w:ascii="Calibri" w:eastAsia="Times New Roman" w:hAnsi="Calibri" w:cs="Calibri"/>
                <w:color w:val="000000"/>
                <w:sz w:val="24"/>
                <w:szCs w:val="24"/>
                <w:lang w:eastAsia="pl-PL"/>
              </w:rPr>
              <w:lastRenderedPageBreak/>
              <w:t>niż państwo lub terytorium miejsca zamieszkania, siedziby lub zarządu beneficjenta rzeczywistego aktywów będących w posiadaniu takich osób prawnych oraz jednostek organizacyjnych niemających osobowości prawnej, konstrukcji lub struktur prawnych</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jeżeli nie można wskazać beneficjenta rzeczywistego osób prawnych oraz jednostek organizacyjnych niemających osobowości prawnej, konstrukcji lub struktur prawnych, w rozumieniu przepisów ustawy z dnia 01.03.2018 r. o przeciwdziałaniu praniu pieniędzy oraz finansowaniu terroryzmu,</w:t>
            </w:r>
          </w:p>
          <w:p w:rsidR="00C76271" w:rsidRPr="00C76271" w:rsidRDefault="00C76271" w:rsidP="00C76271">
            <w:pPr>
              <w:spacing w:after="0" w:line="360" w:lineRule="auto"/>
              <w:jc w:val="both"/>
              <w:rPr>
                <w:rFonts w:ascii="Calibri" w:eastAsia="Times New Roman" w:hAnsi="Calibri" w:cs="Calibri"/>
                <w:color w:val="000000"/>
                <w:sz w:val="16"/>
                <w:szCs w:val="16"/>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g) wykorzystuje wprowadzone jednostronnie w danym państwie uproszczenie w stosowaniu przepisów związanych z ustalaniem cen transferowych, przy czym nie uważa się za uproszczenie wprowadzone jednostronnie uproszczenia, które wynika bezpośrednio z Wytycznych Organizacji Współpracy Gospodarczej i Rozwoju w sprawie cen transferowych dla przedsiębiorstw wielonarodowych oraz administracji podatkowych, a także innych międzynarodowych regulacji, wytycznych lub rekomendacji w zakresie cen transferowych,</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h) dochodzi do przeniesienia praw do trudnych do wyceny wartości niematerialnych,</w:t>
            </w:r>
          </w:p>
          <w:p w:rsidR="00C76271" w:rsidRPr="00C76271" w:rsidRDefault="00C76271" w:rsidP="00C76271">
            <w:pPr>
              <w:spacing w:after="0" w:line="360" w:lineRule="auto"/>
              <w:jc w:val="both"/>
              <w:rPr>
                <w:rFonts w:ascii="Calibri" w:eastAsia="Times New Roman" w:hAnsi="Calibri" w:cs="Calibri"/>
                <w:color w:val="000000"/>
                <w:sz w:val="16"/>
                <w:szCs w:val="16"/>
                <w:lang w:eastAsia="pl-PL"/>
              </w:rPr>
            </w:pPr>
          </w:p>
          <w:p w:rsidR="00C76271" w:rsidRPr="00C76271" w:rsidRDefault="00C76271" w:rsidP="00C76271">
            <w:pPr>
              <w:spacing w:after="0" w:line="360" w:lineRule="auto"/>
              <w:jc w:val="both"/>
              <w:rPr>
                <w:rFonts w:ascii="Calibri" w:eastAsia="Times New Roman" w:hAnsi="Calibri" w:cs="Calibri"/>
                <w:sz w:val="24"/>
                <w:szCs w:val="24"/>
                <w:lang w:eastAsia="pl-PL"/>
              </w:rPr>
            </w:pPr>
            <w:r w:rsidRPr="00C76271">
              <w:rPr>
                <w:rFonts w:ascii="Calibri" w:eastAsia="Times New Roman" w:hAnsi="Calibri" w:cs="Calibri"/>
                <w:color w:val="000000"/>
                <w:sz w:val="24"/>
                <w:szCs w:val="24"/>
                <w:lang w:eastAsia="pl-PL"/>
              </w:rPr>
              <w:t>i) pomiędzy podmiotami powiązanymi dochodzi do przeniesienia funkcji, ryzyka lub aktywów, jeżeli przewidywany roczny wynik finansowy podmiotu przenoszącego lub podmiotów przenoszących przed odsetkami i opodatkowaniem (EBIT) w trzyletnim okresie po tym przeniesieniu wyniósłby mniej niż 50% przewidywanego rocznego EBIT, gdyby nie dokonano przeniesienia;</w:t>
            </w:r>
          </w:p>
        </w:tc>
        <w:tc>
          <w:tcPr>
            <w:tcW w:w="106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C76271" w:rsidRPr="00C76271" w:rsidRDefault="00C76271" w:rsidP="00C76271">
            <w:pPr>
              <w:spacing w:after="0" w:line="360" w:lineRule="auto"/>
              <w:ind w:left="357"/>
              <w:jc w:val="both"/>
              <w:rPr>
                <w:rFonts w:ascii="Calibri" w:eastAsia="Calibri" w:hAnsi="Calibri" w:cs="Calibri"/>
                <w:sz w:val="24"/>
                <w:szCs w:val="24"/>
                <w:lang w:eastAsia="pl-PL"/>
              </w:rPr>
            </w:pPr>
          </w:p>
        </w:tc>
        <w:tc>
          <w:tcPr>
            <w:tcW w:w="119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C76271" w:rsidRPr="00C76271" w:rsidRDefault="00C76271" w:rsidP="00C76271">
            <w:pPr>
              <w:spacing w:after="0" w:line="360" w:lineRule="auto"/>
              <w:ind w:left="357"/>
              <w:jc w:val="both"/>
              <w:rPr>
                <w:rFonts w:ascii="Calibri" w:eastAsia="Calibri" w:hAnsi="Calibri" w:cs="Calibri"/>
                <w:sz w:val="24"/>
                <w:szCs w:val="24"/>
                <w:lang w:eastAsia="pl-PL"/>
              </w:rPr>
            </w:pPr>
          </w:p>
        </w:tc>
      </w:tr>
      <w:tr w:rsidR="00C76271" w:rsidRPr="00C76271" w:rsidTr="00B518BD">
        <w:tc>
          <w:tcPr>
            <w:tcW w:w="6800"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vAlign w:val="center"/>
          </w:tcPr>
          <w:p w:rsidR="00C76271" w:rsidRPr="00C76271" w:rsidRDefault="00C76271" w:rsidP="00C76271">
            <w:pPr>
              <w:spacing w:after="0" w:line="360" w:lineRule="auto"/>
              <w:jc w:val="center"/>
              <w:rPr>
                <w:rFonts w:ascii="Calibri" w:eastAsia="Times New Roman" w:hAnsi="Calibri" w:cs="Calibri"/>
                <w:b/>
                <w:color w:val="000000"/>
                <w:sz w:val="24"/>
                <w:szCs w:val="24"/>
                <w:lang w:eastAsia="pl-PL"/>
              </w:rPr>
            </w:pPr>
            <w:r w:rsidRPr="00C76271">
              <w:rPr>
                <w:rFonts w:ascii="Calibri" w:eastAsia="Times New Roman" w:hAnsi="Calibri" w:cs="Calibri"/>
                <w:b/>
                <w:color w:val="000000"/>
                <w:sz w:val="24"/>
                <w:szCs w:val="24"/>
                <w:lang w:eastAsia="pl-PL"/>
              </w:rPr>
              <w:lastRenderedPageBreak/>
              <w:t>Inna szczególna cecha rozpoznawcza</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samodzielnie przesądza o powstaniu schematu podatkowego,</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stosowana jest tylko do schematów krajowych</w:t>
            </w:r>
            <w:bookmarkStart w:id="0" w:name="_GoBack"/>
            <w:bookmarkEnd w:id="0"/>
          </w:p>
        </w:tc>
        <w:tc>
          <w:tcPr>
            <w:tcW w:w="1066"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tcPr>
          <w:p w:rsidR="00C76271" w:rsidRPr="00C76271" w:rsidRDefault="00C76271" w:rsidP="00C76271">
            <w:pPr>
              <w:spacing w:after="0" w:line="360" w:lineRule="auto"/>
              <w:jc w:val="center"/>
              <w:rPr>
                <w:rFonts w:ascii="Calibri" w:eastAsia="Calibri" w:hAnsi="Calibri" w:cs="Calibri"/>
                <w:sz w:val="24"/>
                <w:szCs w:val="24"/>
                <w:lang w:eastAsia="pl-PL"/>
              </w:rPr>
            </w:pPr>
          </w:p>
        </w:tc>
        <w:tc>
          <w:tcPr>
            <w:tcW w:w="1196" w:type="dxa"/>
            <w:tcBorders>
              <w:top w:val="single" w:sz="0" w:space="0" w:color="000000"/>
              <w:left w:val="single" w:sz="4" w:space="0" w:color="000000"/>
              <w:bottom w:val="single" w:sz="4" w:space="0" w:color="000000"/>
              <w:right w:val="single" w:sz="4" w:space="0" w:color="000000"/>
            </w:tcBorders>
            <w:shd w:val="clear" w:color="000000" w:fill="D9E1F2"/>
            <w:tcMar>
              <w:left w:w="70" w:type="dxa"/>
              <w:right w:w="70" w:type="dxa"/>
            </w:tcMar>
          </w:tcPr>
          <w:p w:rsidR="00C76271" w:rsidRPr="00C76271" w:rsidRDefault="00C76271" w:rsidP="00C76271">
            <w:pPr>
              <w:spacing w:after="0" w:line="360" w:lineRule="auto"/>
              <w:jc w:val="center"/>
              <w:rPr>
                <w:rFonts w:ascii="Calibri" w:eastAsia="Calibri" w:hAnsi="Calibri" w:cs="Calibri"/>
                <w:sz w:val="24"/>
                <w:szCs w:val="24"/>
                <w:lang w:eastAsia="pl-PL"/>
              </w:rPr>
            </w:pPr>
          </w:p>
        </w:tc>
      </w:tr>
      <w:tr w:rsidR="00C76271" w:rsidRPr="00C76271" w:rsidTr="00B518BD">
        <w:tc>
          <w:tcPr>
            <w:tcW w:w="680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xml:space="preserve">a) wpływ na część odroczoną podatku dochodowego lub aktywa </w:t>
            </w:r>
            <w:r w:rsidRPr="00C76271">
              <w:rPr>
                <w:rFonts w:ascii="Calibri" w:eastAsia="Times New Roman" w:hAnsi="Calibri" w:cs="Calibri"/>
                <w:color w:val="000000"/>
                <w:sz w:val="24"/>
                <w:szCs w:val="24"/>
                <w:lang w:eastAsia="pl-PL"/>
              </w:rPr>
              <w:lastRenderedPageBreak/>
              <w:t>albo rezerwy z tytułu podatku odroczonego, wynikający lub oczekiwany w związku z wykonaniem uzgodnienia u korzystającego jest istotny dla danej jednostki w rozumieniu przepisów o rachunkowości oraz przekracza w trakcie roku kalendarzowego kwotę 5 000 000 zł,</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b) płatnik podatku dochodowego byłby zobowiązany do pobrania podatku przekraczającego w trakcie roku kalendarzowego kwotę 5 000 000 zł, jeżeli w odniesieniu do wypłat należności wynikających lub oczekiwanych w związku z wykonaniem uzgodnienia nie miałyby zastosowania właściwe umowy o unikaniu podwójnego opodatkowania lub zwolnienia podatkowe,</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r w:rsidRPr="00C76271">
              <w:rPr>
                <w:rFonts w:ascii="Calibri" w:eastAsia="Times New Roman" w:hAnsi="Calibri" w:cs="Calibri"/>
                <w:color w:val="000000"/>
                <w:sz w:val="24"/>
                <w:szCs w:val="24"/>
                <w:lang w:eastAsia="pl-PL"/>
              </w:rPr>
              <w:t xml:space="preserve">c) dochody (przychody) podatnika, o którym mowa w </w:t>
            </w:r>
            <w:r w:rsidRPr="00C76271">
              <w:rPr>
                <w:rFonts w:ascii="Calibri" w:eastAsia="Times New Roman" w:hAnsi="Calibri" w:cs="Calibri"/>
                <w:color w:val="1B1B1B"/>
                <w:sz w:val="24"/>
                <w:szCs w:val="24"/>
                <w:lang w:eastAsia="pl-PL"/>
              </w:rPr>
              <w:t>art. 3 ust. 2a</w:t>
            </w:r>
            <w:r w:rsidRPr="00C76271">
              <w:rPr>
                <w:rFonts w:ascii="Calibri" w:eastAsia="Times New Roman" w:hAnsi="Calibri" w:cs="Calibri"/>
                <w:color w:val="000000"/>
                <w:sz w:val="24"/>
                <w:szCs w:val="24"/>
                <w:lang w:eastAsia="pl-PL"/>
              </w:rPr>
              <w:t xml:space="preserve"> ustawy z dnia 26.07.1991 r. o podatku dochodowym od osób fizycznych lub </w:t>
            </w:r>
            <w:r w:rsidRPr="00C76271">
              <w:rPr>
                <w:rFonts w:ascii="Calibri" w:eastAsia="Times New Roman" w:hAnsi="Calibri" w:cs="Calibri"/>
                <w:color w:val="1B1B1B"/>
                <w:sz w:val="24"/>
                <w:szCs w:val="24"/>
                <w:lang w:eastAsia="pl-PL"/>
              </w:rPr>
              <w:t>art. 3 ust. 2</w:t>
            </w:r>
            <w:r w:rsidRPr="00C76271">
              <w:rPr>
                <w:rFonts w:ascii="Calibri" w:eastAsia="Times New Roman" w:hAnsi="Calibri" w:cs="Calibri"/>
                <w:color w:val="000000"/>
                <w:sz w:val="24"/>
                <w:szCs w:val="24"/>
                <w:lang w:eastAsia="pl-PL"/>
              </w:rPr>
              <w:t xml:space="preserve"> ustawy z dnia 15.02.1992 r. o podatku dochodowym od osób prawnych, wynikające lub oczekiwane w związku z wykonaniem uzgodnienia, przekraczają łącznie w trakcie roku kalendarzowego kwotę 25 000 000 zł,</w:t>
            </w:r>
          </w:p>
          <w:p w:rsidR="00C76271" w:rsidRPr="00C76271" w:rsidRDefault="00C76271" w:rsidP="00C76271">
            <w:pPr>
              <w:spacing w:after="0" w:line="360" w:lineRule="auto"/>
              <w:jc w:val="both"/>
              <w:rPr>
                <w:rFonts w:ascii="Calibri" w:eastAsia="Times New Roman" w:hAnsi="Calibri" w:cs="Calibri"/>
                <w:color w:val="000000"/>
                <w:sz w:val="24"/>
                <w:szCs w:val="24"/>
                <w:lang w:eastAsia="pl-PL"/>
              </w:rPr>
            </w:pPr>
          </w:p>
          <w:p w:rsidR="00C76271" w:rsidRPr="00C76271" w:rsidRDefault="00C76271" w:rsidP="00C76271">
            <w:pPr>
              <w:spacing w:after="0" w:line="360" w:lineRule="auto"/>
              <w:jc w:val="both"/>
              <w:rPr>
                <w:rFonts w:ascii="Calibri" w:eastAsia="Times New Roman" w:hAnsi="Calibri" w:cs="Calibri"/>
                <w:sz w:val="24"/>
                <w:szCs w:val="24"/>
                <w:lang w:eastAsia="pl-PL"/>
              </w:rPr>
            </w:pPr>
            <w:r w:rsidRPr="00C76271">
              <w:rPr>
                <w:rFonts w:ascii="Calibri" w:eastAsia="Times New Roman" w:hAnsi="Calibri" w:cs="Calibri"/>
                <w:color w:val="000000"/>
                <w:sz w:val="24"/>
                <w:szCs w:val="24"/>
                <w:lang w:eastAsia="pl-PL"/>
              </w:rPr>
              <w:t xml:space="preserve">d) różnica pomiędzy polskim podatkiem dochodowym, który byłby należny w związku z wykonaniem uzgodnienia od korzystającego nieposiadającego siedziby, zarządu ani miejsca zamieszkania na terytorium Rzeczypospolitej Polskiej, gdyby był on podatnikiem, o którym mowa w </w:t>
            </w:r>
            <w:r w:rsidRPr="00C76271">
              <w:rPr>
                <w:rFonts w:ascii="Calibri" w:eastAsia="Times New Roman" w:hAnsi="Calibri" w:cs="Calibri"/>
                <w:color w:val="1B1B1B"/>
                <w:sz w:val="24"/>
                <w:szCs w:val="24"/>
                <w:lang w:eastAsia="pl-PL"/>
              </w:rPr>
              <w:t>art. 3 ust. 1</w:t>
            </w:r>
            <w:r w:rsidRPr="00C76271">
              <w:rPr>
                <w:rFonts w:ascii="Calibri" w:eastAsia="Times New Roman" w:hAnsi="Calibri" w:cs="Calibri"/>
                <w:color w:val="000000"/>
                <w:sz w:val="24"/>
                <w:szCs w:val="24"/>
                <w:lang w:eastAsia="pl-PL"/>
              </w:rPr>
              <w:t xml:space="preserve"> ustawy z dnia 26.07.1991 r. o podatku dochodowym od osób fizycznych (</w:t>
            </w:r>
            <w:proofErr w:type="spellStart"/>
            <w:r w:rsidRPr="00C76271">
              <w:rPr>
                <w:rFonts w:ascii="Calibri" w:eastAsia="Times New Roman" w:hAnsi="Calibri" w:cs="Calibri"/>
                <w:color w:val="000000"/>
                <w:sz w:val="24"/>
                <w:szCs w:val="24"/>
                <w:lang w:eastAsia="pl-PL"/>
              </w:rPr>
              <w:t>t.j</w:t>
            </w:r>
            <w:proofErr w:type="spellEnd"/>
            <w:r w:rsidRPr="00C76271">
              <w:rPr>
                <w:rFonts w:ascii="Calibri" w:eastAsia="Times New Roman" w:hAnsi="Calibri" w:cs="Calibri"/>
                <w:color w:val="000000"/>
                <w:sz w:val="24"/>
                <w:szCs w:val="24"/>
                <w:lang w:eastAsia="pl-PL"/>
              </w:rPr>
              <w:t xml:space="preserve">. Dz. U. 2020 r. poz. 1426, ze zm.) lub </w:t>
            </w:r>
            <w:r w:rsidRPr="00C76271">
              <w:rPr>
                <w:rFonts w:ascii="Calibri" w:eastAsia="Times New Roman" w:hAnsi="Calibri" w:cs="Calibri"/>
                <w:color w:val="1B1B1B"/>
                <w:sz w:val="24"/>
                <w:szCs w:val="24"/>
                <w:lang w:eastAsia="pl-PL"/>
              </w:rPr>
              <w:t>art. 3 ust. 1</w:t>
            </w:r>
            <w:r w:rsidRPr="00C76271">
              <w:rPr>
                <w:rFonts w:ascii="Calibri" w:eastAsia="Times New Roman" w:hAnsi="Calibri" w:cs="Calibri"/>
                <w:color w:val="000000"/>
                <w:sz w:val="24"/>
                <w:szCs w:val="24"/>
                <w:lang w:eastAsia="pl-PL"/>
              </w:rPr>
              <w:t xml:space="preserve"> ustawy z dnia 15.02.1992 r. o podatku dochodowym od osób prawnych (</w:t>
            </w:r>
            <w:proofErr w:type="spellStart"/>
            <w:r w:rsidRPr="00C76271">
              <w:rPr>
                <w:rFonts w:ascii="Calibri" w:eastAsia="Times New Roman" w:hAnsi="Calibri" w:cs="Calibri"/>
                <w:color w:val="000000"/>
                <w:sz w:val="24"/>
                <w:szCs w:val="24"/>
                <w:lang w:eastAsia="pl-PL"/>
              </w:rPr>
              <w:t>t.j</w:t>
            </w:r>
            <w:proofErr w:type="spellEnd"/>
            <w:r w:rsidRPr="00C76271">
              <w:rPr>
                <w:rFonts w:ascii="Calibri" w:eastAsia="Times New Roman" w:hAnsi="Calibri" w:cs="Calibri"/>
                <w:color w:val="000000"/>
                <w:sz w:val="24"/>
                <w:szCs w:val="24"/>
                <w:lang w:eastAsia="pl-PL"/>
              </w:rPr>
              <w:t xml:space="preserve">. Dz. U. z 2020 r. poz. 1406, ze </w:t>
            </w:r>
            <w:proofErr w:type="spellStart"/>
            <w:r w:rsidRPr="00C76271">
              <w:rPr>
                <w:rFonts w:ascii="Calibri" w:eastAsia="Times New Roman" w:hAnsi="Calibri" w:cs="Calibri"/>
                <w:color w:val="000000"/>
                <w:sz w:val="24"/>
                <w:szCs w:val="24"/>
                <w:lang w:eastAsia="pl-PL"/>
              </w:rPr>
              <w:t>zm</w:t>
            </w:r>
            <w:proofErr w:type="spellEnd"/>
            <w:r w:rsidRPr="00C76271">
              <w:rPr>
                <w:rFonts w:ascii="Calibri" w:eastAsia="Times New Roman" w:hAnsi="Calibri" w:cs="Calibri"/>
                <w:color w:val="000000"/>
                <w:sz w:val="24"/>
                <w:szCs w:val="24"/>
                <w:lang w:eastAsia="pl-PL"/>
              </w:rPr>
              <w:t>) , a podlegającym faktycznej zapłacie podatkiem dochodowym w państwie siedziby, zarządu lub miejsca zamieszkania korzystającego w związku z wykonaniem uzgodnienia, przekracza łącznie w trakcie roku kalendarzowego kwotę 5 000 000 zł;</w:t>
            </w:r>
          </w:p>
        </w:tc>
        <w:tc>
          <w:tcPr>
            <w:tcW w:w="106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C76271" w:rsidRPr="00C76271" w:rsidRDefault="00C76271" w:rsidP="00C76271">
            <w:pPr>
              <w:spacing w:after="0" w:line="360" w:lineRule="auto"/>
              <w:ind w:left="357"/>
              <w:jc w:val="both"/>
              <w:rPr>
                <w:rFonts w:ascii="Calibri" w:eastAsia="Calibri" w:hAnsi="Calibri" w:cs="Calibri"/>
                <w:sz w:val="24"/>
                <w:szCs w:val="24"/>
                <w:lang w:eastAsia="pl-PL"/>
              </w:rPr>
            </w:pPr>
          </w:p>
        </w:tc>
        <w:tc>
          <w:tcPr>
            <w:tcW w:w="119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C76271" w:rsidRPr="00C76271" w:rsidRDefault="00C76271" w:rsidP="00C76271">
            <w:pPr>
              <w:spacing w:after="0" w:line="360" w:lineRule="auto"/>
              <w:ind w:left="357"/>
              <w:jc w:val="both"/>
              <w:rPr>
                <w:rFonts w:ascii="Calibri" w:eastAsia="Calibri" w:hAnsi="Calibri" w:cs="Calibri"/>
                <w:sz w:val="24"/>
                <w:szCs w:val="24"/>
                <w:lang w:eastAsia="pl-PL"/>
              </w:rPr>
            </w:pPr>
          </w:p>
        </w:tc>
      </w:tr>
    </w:tbl>
    <w:p w:rsidR="00C76271" w:rsidRPr="00C76271" w:rsidRDefault="00C76271" w:rsidP="00C76271">
      <w:pPr>
        <w:spacing w:after="360" w:line="360" w:lineRule="auto"/>
        <w:rPr>
          <w:rFonts w:ascii="Calibri" w:eastAsia="Times New Roman" w:hAnsi="Calibri" w:cs="Calibri"/>
          <w:sz w:val="24"/>
          <w:szCs w:val="24"/>
          <w:lang w:eastAsia="pl-PL"/>
        </w:rPr>
      </w:pPr>
    </w:p>
    <w:p w:rsidR="00C76271" w:rsidRPr="00C76271" w:rsidRDefault="00C76271" w:rsidP="00C76271">
      <w:pPr>
        <w:spacing w:after="160" w:line="360" w:lineRule="auto"/>
        <w:rPr>
          <w:rFonts w:ascii="Calibri" w:eastAsia="Times New Roman" w:hAnsi="Calibri" w:cs="Calibri"/>
          <w:b/>
          <w:sz w:val="24"/>
          <w:szCs w:val="24"/>
          <w:lang w:eastAsia="pl-PL"/>
        </w:rPr>
      </w:pPr>
      <w:r w:rsidRPr="00C76271">
        <w:rPr>
          <w:rFonts w:ascii="Calibri" w:eastAsia="Times New Roman" w:hAnsi="Calibri" w:cs="Calibri"/>
          <w:b/>
          <w:sz w:val="24"/>
          <w:szCs w:val="24"/>
          <w:lang w:eastAsia="pl-PL"/>
        </w:rPr>
        <w:t>Kwalifikowany korzystający to podmiot, który spełnia następujące kryteria:</w:t>
      </w:r>
    </w:p>
    <w:p w:rsidR="00C76271" w:rsidRPr="00C76271" w:rsidRDefault="00C76271" w:rsidP="00C76271">
      <w:pPr>
        <w:spacing w:after="0" w:line="360" w:lineRule="auto"/>
        <w:rPr>
          <w:rFonts w:ascii="Calibri" w:eastAsia="Times New Roman" w:hAnsi="Calibri" w:cs="Calibri"/>
          <w:sz w:val="24"/>
          <w:szCs w:val="24"/>
          <w:lang w:eastAsia="pl-PL"/>
        </w:rPr>
      </w:pPr>
      <w:r w:rsidRPr="00C76271">
        <w:rPr>
          <w:rFonts w:ascii="Arial" w:eastAsia="Segoe UI Symbol" w:hAnsi="Arial" w:cs="Arial"/>
          <w:sz w:val="24"/>
          <w:szCs w:val="24"/>
          <w:lang w:eastAsia="pl-PL"/>
        </w:rPr>
        <w:t>►</w:t>
      </w:r>
      <w:r w:rsidRPr="00C76271">
        <w:rPr>
          <w:rFonts w:ascii="Calibri" w:eastAsia="Times New Roman" w:hAnsi="Calibri" w:cs="Calibri"/>
          <w:sz w:val="24"/>
          <w:szCs w:val="24"/>
          <w:lang w:eastAsia="pl-PL"/>
        </w:rPr>
        <w:t xml:space="preserve"> jego przychody / koszty lub rachunkowa wartość aktywów przekracza 10 mln EUR*, </w:t>
      </w:r>
      <w:r w:rsidRPr="00C76271">
        <w:rPr>
          <w:rFonts w:ascii="Calibri" w:eastAsia="Times New Roman" w:hAnsi="Calibri" w:cs="Calibri"/>
          <w:b/>
          <w:sz w:val="24"/>
          <w:szCs w:val="24"/>
          <w:lang w:eastAsia="pl-PL"/>
        </w:rPr>
        <w:t xml:space="preserve">lub </w:t>
      </w:r>
    </w:p>
    <w:p w:rsidR="00C76271" w:rsidRPr="00C76271" w:rsidRDefault="00C76271" w:rsidP="00C76271">
      <w:pPr>
        <w:spacing w:after="0" w:line="360" w:lineRule="auto"/>
        <w:rPr>
          <w:rFonts w:ascii="Calibri" w:eastAsia="Times New Roman" w:hAnsi="Calibri" w:cs="Calibri"/>
          <w:sz w:val="24"/>
          <w:szCs w:val="24"/>
          <w:lang w:eastAsia="pl-PL"/>
        </w:rPr>
      </w:pPr>
      <w:r w:rsidRPr="00C76271">
        <w:rPr>
          <w:rFonts w:ascii="Arial" w:eastAsia="Segoe UI Symbol" w:hAnsi="Arial" w:cs="Arial"/>
          <w:sz w:val="24"/>
          <w:szCs w:val="24"/>
          <w:lang w:eastAsia="pl-PL"/>
        </w:rPr>
        <w:t>►</w:t>
      </w:r>
      <w:r w:rsidRPr="00C76271">
        <w:rPr>
          <w:rFonts w:ascii="Calibri" w:eastAsia="Times New Roman" w:hAnsi="Calibri" w:cs="Calibri"/>
          <w:sz w:val="24"/>
          <w:szCs w:val="24"/>
          <w:lang w:eastAsia="pl-PL"/>
        </w:rPr>
        <w:t xml:space="preserve"> związane z nim uzgodnienie dot. rzeczy lub praw przekraczających 2,5 mln EUR*, </w:t>
      </w:r>
      <w:r w:rsidRPr="00C76271">
        <w:rPr>
          <w:rFonts w:ascii="Calibri" w:eastAsia="Times New Roman" w:hAnsi="Calibri" w:cs="Calibri"/>
          <w:b/>
          <w:sz w:val="24"/>
          <w:szCs w:val="24"/>
          <w:lang w:eastAsia="pl-PL"/>
        </w:rPr>
        <w:t xml:space="preserve">lub </w:t>
      </w:r>
    </w:p>
    <w:p w:rsidR="00C76271" w:rsidRPr="00C76271" w:rsidRDefault="00C76271" w:rsidP="00C76271">
      <w:pPr>
        <w:spacing w:after="0" w:line="360" w:lineRule="auto"/>
        <w:rPr>
          <w:rFonts w:ascii="Calibri" w:eastAsia="Times New Roman" w:hAnsi="Calibri" w:cs="Calibri"/>
          <w:color w:val="000000"/>
          <w:sz w:val="24"/>
          <w:szCs w:val="24"/>
          <w:lang w:eastAsia="pl-PL"/>
        </w:rPr>
      </w:pPr>
      <w:r w:rsidRPr="00C76271">
        <w:rPr>
          <w:rFonts w:ascii="Arial" w:eastAsia="Segoe UI Symbol" w:hAnsi="Arial" w:cs="Arial"/>
          <w:sz w:val="24"/>
          <w:szCs w:val="24"/>
          <w:lang w:eastAsia="pl-PL"/>
        </w:rPr>
        <w:t>►</w:t>
      </w:r>
      <w:r w:rsidRPr="00C76271">
        <w:rPr>
          <w:rFonts w:ascii="Calibri" w:eastAsia="Times New Roman" w:hAnsi="Calibri" w:cs="Calibri"/>
          <w:sz w:val="24"/>
          <w:szCs w:val="24"/>
          <w:lang w:eastAsia="pl-PL"/>
        </w:rPr>
        <w:t xml:space="preserve"> korzystający jest podmiotem powiązanym z podmiotem spełniającym powyższe kryteria </w:t>
      </w:r>
      <w:r w:rsidRPr="00C76271">
        <w:rPr>
          <w:rFonts w:ascii="Calibri" w:eastAsia="Times New Roman" w:hAnsi="Calibri" w:cs="Calibri"/>
          <w:color w:val="000000"/>
          <w:sz w:val="24"/>
          <w:szCs w:val="24"/>
          <w:lang w:eastAsia="pl-PL"/>
        </w:rPr>
        <w:t xml:space="preserve">w rozumieniu art. 23m ust. 1 pkt 4 ustawy o podatku dochodowym od osób fizycznych lub art. 11a ust. 1 pkt 4 ustawy o podatku dochodowym od osób prawnych. </w:t>
      </w:r>
    </w:p>
    <w:p w:rsidR="00C76271" w:rsidRPr="00C76271" w:rsidRDefault="00C76271" w:rsidP="00C76271">
      <w:pPr>
        <w:spacing w:before="600" w:after="1320" w:line="360" w:lineRule="auto"/>
        <w:jc w:val="both"/>
        <w:rPr>
          <w:rFonts w:ascii="Calibri" w:eastAsia="Times New Roman" w:hAnsi="Calibri" w:cs="Calibri"/>
          <w:color w:val="0D0D0D"/>
          <w:sz w:val="24"/>
          <w:szCs w:val="24"/>
          <w:lang w:eastAsia="pl-PL"/>
        </w:rPr>
      </w:pPr>
      <w:r w:rsidRPr="00C76271">
        <w:rPr>
          <w:rFonts w:ascii="Calibri" w:eastAsia="Times New Roman" w:hAnsi="Calibri" w:cs="Calibri"/>
          <w:color w:val="000000"/>
          <w:sz w:val="24"/>
          <w:szCs w:val="24"/>
          <w:lang w:eastAsia="pl-PL"/>
        </w:rPr>
        <w:t>*</w:t>
      </w:r>
      <w:r w:rsidRPr="00C76271">
        <w:rPr>
          <w:rFonts w:ascii="Calibri" w:eastAsia="Arial" w:hAnsi="Calibri" w:cs="Calibri"/>
          <w:color w:val="333333"/>
          <w:sz w:val="24"/>
          <w:szCs w:val="24"/>
          <w:shd w:val="clear" w:color="auto" w:fill="FFFFFF"/>
          <w:lang w:eastAsia="pl-PL"/>
        </w:rPr>
        <w:t xml:space="preserve"> </w:t>
      </w:r>
      <w:r w:rsidRPr="00C76271">
        <w:rPr>
          <w:rFonts w:ascii="Calibri" w:eastAsia="Times New Roman" w:hAnsi="Calibri" w:cs="Calibri"/>
          <w:color w:val="0D0D0D"/>
          <w:sz w:val="24"/>
          <w:szCs w:val="24"/>
          <w:shd w:val="clear" w:color="auto" w:fill="FFFFFF"/>
          <w:lang w:eastAsia="pl-PL"/>
        </w:rPr>
        <w:t>wyrażone w euro kwoty, o których mowa powyżej, przelicza się na złote według średniego kursu ogłaszanego przez Narodowy Bank Polski w ostatnim dniu roku kalendarzowego poprzedzającego rok, w którym nastąpiło zdarzenie skutkujące obowiązkiem przekazania informacji o schemacie podatkowym innym niż schemat podatkowy transgraniczny.</w:t>
      </w:r>
    </w:p>
    <w:p w:rsidR="00190F6F" w:rsidRDefault="00190F6F"/>
    <w:sectPr w:rsidR="00190F6F" w:rsidSect="00C7627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71"/>
    <w:rsid w:val="00190F6F"/>
    <w:rsid w:val="00C76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1478</Words>
  <Characters>8869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lastModifiedBy>MKrystyniak</cp:lastModifiedBy>
  <cp:revision>1</cp:revision>
  <dcterms:created xsi:type="dcterms:W3CDTF">2021-01-05T12:54:00Z</dcterms:created>
  <dcterms:modified xsi:type="dcterms:W3CDTF">2021-01-05T12:56:00Z</dcterms:modified>
</cp:coreProperties>
</file>