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3266"/>
        <w:gridCol w:w="994"/>
        <w:gridCol w:w="3265"/>
        <w:gridCol w:w="1562"/>
      </w:tblGrid>
      <w:tr w:rsidR="00A334B7" w:rsidRPr="00A334B7" w:rsidTr="00E1332F">
        <w:trPr>
          <w:trHeight w:val="793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40" w:rsidRPr="00A334B7" w:rsidRDefault="00A17D40" w:rsidP="00E1332F">
            <w:pPr>
              <w:suppressAutoHyphens/>
            </w:pPr>
            <w:r w:rsidRPr="00A334B7">
              <w:br w:type="page"/>
            </w:r>
            <w:r w:rsidRPr="00A334B7">
              <w:rPr>
                <w:rFonts w:eastAsia="Times New Roman"/>
              </w:rPr>
              <w:t xml:space="preserve">Nazwa </w:t>
            </w:r>
            <w:r w:rsidRPr="00A334B7">
              <w:rPr>
                <w:rFonts w:eastAsia="Times New Roman"/>
              </w:rPr>
              <w:br/>
              <w:t>i symbol</w:t>
            </w:r>
          </w:p>
        </w:tc>
        <w:tc>
          <w:tcPr>
            <w:tcW w:w="752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40" w:rsidRPr="00A334B7" w:rsidRDefault="00A17D40" w:rsidP="00E1332F">
            <w:pPr>
              <w:pStyle w:val="Nagwek3"/>
              <w:spacing w:before="120"/>
            </w:pPr>
            <w:bookmarkStart w:id="0" w:name="_Toc31718341"/>
            <w:bookmarkStart w:id="1" w:name="_Toc104972616"/>
            <w:r w:rsidRPr="00A334B7">
              <w:t>DZIAŁ SERWISU TECHNICZNEGO</w:t>
            </w:r>
            <w:bookmarkEnd w:id="0"/>
            <w:bookmarkEnd w:id="1"/>
          </w:p>
        </w:tc>
        <w:tc>
          <w:tcPr>
            <w:tcW w:w="1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17D40" w:rsidRPr="00A334B7" w:rsidRDefault="006E059D" w:rsidP="00E1332F">
            <w:pPr>
              <w:suppressAutoHyphens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334B7">
              <w:rPr>
                <w:b/>
                <w:sz w:val="26"/>
                <w:szCs w:val="26"/>
              </w:rPr>
              <w:t>I</w:t>
            </w:r>
            <w:r w:rsidR="00A17D40" w:rsidRPr="00A334B7">
              <w:rPr>
                <w:b/>
                <w:sz w:val="26"/>
                <w:szCs w:val="26"/>
              </w:rPr>
              <w:t>S</w:t>
            </w:r>
          </w:p>
        </w:tc>
      </w:tr>
      <w:tr w:rsidR="00A334B7" w:rsidRPr="00A334B7" w:rsidTr="00E1332F">
        <w:trPr>
          <w:trHeight w:val="279"/>
        </w:trPr>
        <w:tc>
          <w:tcPr>
            <w:tcW w:w="1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40" w:rsidRPr="00A334B7" w:rsidRDefault="00A17D40" w:rsidP="00E1332F">
            <w:pPr>
              <w:suppressAutoHyphens/>
            </w:pPr>
            <w:r w:rsidRPr="00A334B7">
              <w:rPr>
                <w:rFonts w:eastAsia="Times New Roman"/>
              </w:rPr>
              <w:t xml:space="preserve">Jednostka </w:t>
            </w:r>
            <w:r w:rsidRPr="00A334B7">
              <w:rPr>
                <w:rFonts w:eastAsia="Times New Roman"/>
              </w:rPr>
              <w:br/>
              <w:t>nadrzędna</w:t>
            </w:r>
          </w:p>
        </w:tc>
        <w:tc>
          <w:tcPr>
            <w:tcW w:w="4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40" w:rsidRPr="00A334B7" w:rsidRDefault="00A17D40" w:rsidP="00E1332F">
            <w:pPr>
              <w:suppressAutoHyphens/>
            </w:pPr>
            <w:r w:rsidRPr="00A334B7">
              <w:rPr>
                <w:rFonts w:eastAsia="Times New Roman"/>
              </w:rPr>
              <w:t>Podległość formalna</w:t>
            </w:r>
          </w:p>
        </w:tc>
        <w:tc>
          <w:tcPr>
            <w:tcW w:w="48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17D40" w:rsidRPr="00A334B7" w:rsidRDefault="00A17D40" w:rsidP="00E1332F">
            <w:pPr>
              <w:suppressAutoHyphens/>
            </w:pPr>
            <w:r w:rsidRPr="00A334B7">
              <w:rPr>
                <w:rFonts w:eastAsia="Times New Roman"/>
              </w:rPr>
              <w:t>Podległość merytoryczna</w:t>
            </w:r>
          </w:p>
        </w:tc>
      </w:tr>
      <w:tr w:rsidR="00A334B7" w:rsidRPr="00A334B7" w:rsidTr="00E1332F">
        <w:trPr>
          <w:trHeight w:val="406"/>
        </w:trPr>
        <w:tc>
          <w:tcPr>
            <w:tcW w:w="1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40" w:rsidRPr="00A334B7" w:rsidRDefault="00A17D40" w:rsidP="00E1332F"/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40" w:rsidRPr="00A334B7" w:rsidRDefault="00A17D40" w:rsidP="006E059D">
            <w:pPr>
              <w:rPr>
                <w:szCs w:val="24"/>
              </w:rPr>
            </w:pPr>
            <w:r w:rsidRPr="00A334B7">
              <w:rPr>
                <w:rFonts w:eastAsia="Times New Roman"/>
              </w:rPr>
              <w:t xml:space="preserve">Zastępca Dyrektora Generalnego ds. </w:t>
            </w:r>
            <w:r w:rsidR="006E059D" w:rsidRPr="00A334B7">
              <w:rPr>
                <w:rFonts w:eastAsia="Times New Roman"/>
              </w:rPr>
              <w:t>Infrastruktury, Inwestycji i Remontów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40" w:rsidRPr="00A334B7" w:rsidRDefault="00A17D40" w:rsidP="00E1332F">
            <w:pPr>
              <w:rPr>
                <w:szCs w:val="24"/>
              </w:rPr>
            </w:pPr>
            <w:r w:rsidRPr="00A334B7">
              <w:rPr>
                <w:rFonts w:eastAsia="Times New Roman"/>
              </w:rPr>
              <w:t>A</w:t>
            </w:r>
            <w:r w:rsidR="006E059D" w:rsidRPr="00A334B7">
              <w:rPr>
                <w:rFonts w:eastAsia="Times New Roman"/>
              </w:rPr>
              <w:t>I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40" w:rsidRPr="00A334B7" w:rsidRDefault="006E059D" w:rsidP="00E1332F">
            <w:pPr>
              <w:suppressAutoHyphens/>
              <w:rPr>
                <w:rFonts w:ascii="Calibri" w:hAnsi="Calibri" w:cs="Calibri"/>
              </w:rPr>
            </w:pPr>
            <w:r w:rsidRPr="00A334B7">
              <w:rPr>
                <w:rFonts w:eastAsia="Times New Roman"/>
              </w:rPr>
              <w:t>Zastępca Dyrektora Generalnego ds. Infrastruktury, Inwestycji i Remontów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17D40" w:rsidRPr="00A334B7" w:rsidRDefault="006E059D" w:rsidP="00E1332F">
            <w:pPr>
              <w:suppressAutoHyphens/>
            </w:pPr>
            <w:r w:rsidRPr="00A334B7">
              <w:t>AI</w:t>
            </w:r>
          </w:p>
        </w:tc>
      </w:tr>
      <w:tr w:rsidR="00A334B7" w:rsidRPr="00A334B7" w:rsidTr="00E1332F">
        <w:trPr>
          <w:trHeight w:val="279"/>
        </w:trPr>
        <w:tc>
          <w:tcPr>
            <w:tcW w:w="1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40" w:rsidRPr="00A334B7" w:rsidRDefault="00A17D40" w:rsidP="00E1332F">
            <w:pPr>
              <w:suppressAutoHyphens/>
            </w:pPr>
            <w:r w:rsidRPr="00A334B7">
              <w:rPr>
                <w:rFonts w:eastAsia="Times New Roman"/>
              </w:rPr>
              <w:t xml:space="preserve">Jednostki </w:t>
            </w:r>
            <w:r w:rsidRPr="00A334B7">
              <w:rPr>
                <w:rFonts w:eastAsia="Times New Roman"/>
              </w:rPr>
              <w:br/>
              <w:t>podległe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40" w:rsidRPr="00A334B7" w:rsidRDefault="00A17D40" w:rsidP="00E1332F">
            <w:pPr>
              <w:suppressAutoHyphens/>
            </w:pPr>
            <w:r w:rsidRPr="00A334B7">
              <w:rPr>
                <w:rFonts w:eastAsia="Times New Roman"/>
              </w:rPr>
              <w:t>Podległość formalna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17D40" w:rsidRPr="00A334B7" w:rsidRDefault="00A17D40" w:rsidP="00E1332F">
            <w:pPr>
              <w:suppressAutoHyphens/>
            </w:pPr>
            <w:r w:rsidRPr="00A334B7">
              <w:rPr>
                <w:rFonts w:eastAsia="Times New Roman"/>
              </w:rPr>
              <w:t>Podległość merytoryczna</w:t>
            </w:r>
          </w:p>
        </w:tc>
      </w:tr>
      <w:tr w:rsidR="00A334B7" w:rsidRPr="00A334B7" w:rsidTr="00E1332F">
        <w:trPr>
          <w:trHeight w:val="345"/>
        </w:trPr>
        <w:tc>
          <w:tcPr>
            <w:tcW w:w="1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40" w:rsidRPr="00A334B7" w:rsidRDefault="00A17D40" w:rsidP="00E1332F"/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17D40" w:rsidRPr="00A334B7" w:rsidRDefault="00A17D40" w:rsidP="00E1332F">
            <w:pPr>
              <w:rPr>
                <w:szCs w:val="24"/>
              </w:rPr>
            </w:pPr>
            <w:bookmarkStart w:id="2" w:name="_GoBack"/>
            <w:bookmarkEnd w:id="2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17D40" w:rsidRPr="00A334B7" w:rsidRDefault="00A17D40" w:rsidP="00E1332F">
            <w:pPr>
              <w:rPr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17D40" w:rsidRPr="00A334B7" w:rsidRDefault="00A17D40" w:rsidP="00E1332F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7D40" w:rsidRPr="00A334B7" w:rsidRDefault="00A17D40" w:rsidP="00E1332F">
            <w:pPr>
              <w:suppressAutoHyphens/>
              <w:rPr>
                <w:rFonts w:ascii="Calibri" w:hAnsi="Calibri" w:cs="Calibri"/>
              </w:rPr>
            </w:pPr>
          </w:p>
        </w:tc>
      </w:tr>
      <w:tr w:rsidR="00A334B7" w:rsidRPr="00A334B7" w:rsidTr="00E1332F">
        <w:trPr>
          <w:trHeight w:val="279"/>
        </w:trPr>
        <w:tc>
          <w:tcPr>
            <w:tcW w:w="10333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17D40" w:rsidRPr="00A334B7" w:rsidRDefault="00A17D40" w:rsidP="00E1332F">
            <w:pPr>
              <w:rPr>
                <w:sz w:val="16"/>
                <w:szCs w:val="16"/>
              </w:rPr>
            </w:pPr>
          </w:p>
        </w:tc>
      </w:tr>
      <w:tr w:rsidR="00A334B7" w:rsidRPr="00A334B7" w:rsidTr="00E1332F">
        <w:trPr>
          <w:trHeight w:val="337"/>
        </w:trPr>
        <w:tc>
          <w:tcPr>
            <w:tcW w:w="1033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17D40" w:rsidRPr="00A334B7" w:rsidRDefault="00A17D40" w:rsidP="00E1332F">
            <w:pPr>
              <w:suppressAutoHyphens/>
              <w:spacing w:line="276" w:lineRule="auto"/>
            </w:pPr>
            <w:r w:rsidRPr="00A334B7">
              <w:rPr>
                <w:rFonts w:eastAsia="Times New Roman"/>
              </w:rPr>
              <w:t xml:space="preserve">Cel działalności </w:t>
            </w:r>
          </w:p>
        </w:tc>
      </w:tr>
      <w:tr w:rsidR="00A334B7" w:rsidRPr="00A334B7" w:rsidTr="00E1332F">
        <w:trPr>
          <w:trHeight w:val="1011"/>
        </w:trPr>
        <w:tc>
          <w:tcPr>
            <w:tcW w:w="10333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17D40" w:rsidRPr="00A334B7" w:rsidRDefault="00A17D40" w:rsidP="00A17D40">
            <w:pPr>
              <w:pStyle w:val="Zwykytekst"/>
              <w:numPr>
                <w:ilvl w:val="0"/>
                <w:numId w:val="2"/>
              </w:numPr>
              <w:spacing w:line="276" w:lineRule="auto"/>
              <w:ind w:left="284" w:hanging="284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334B7">
              <w:rPr>
                <w:rFonts w:ascii="Times New Roman" w:hAnsi="Times New Roman"/>
                <w:spacing w:val="-4"/>
                <w:sz w:val="24"/>
                <w:szCs w:val="24"/>
              </w:rPr>
              <w:t>Zapewnienie pełnej sprawności urządzeń infrastruktury technicznej budynków i budowli Uczelni oraz aparatury naukowo-badawczej i dydaktycznej.</w:t>
            </w:r>
          </w:p>
          <w:p w:rsidR="00A17D40" w:rsidRPr="00A334B7" w:rsidRDefault="00A17D40" w:rsidP="00A17D40">
            <w:pPr>
              <w:pStyle w:val="Zwykytekst"/>
              <w:numPr>
                <w:ilvl w:val="0"/>
                <w:numId w:val="2"/>
              </w:numPr>
              <w:spacing w:before="24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4B7">
              <w:rPr>
                <w:rFonts w:ascii="Times New Roman" w:hAnsi="Times New Roman"/>
                <w:sz w:val="24"/>
                <w:szCs w:val="24"/>
              </w:rPr>
              <w:t>Zapewnienie ochrony przeciwpożarowej w obiektach należących do Uczelni, identyfikacja zagrożeń i nieprawidłowości oraz przedstawianie propozycji rozwiązań zgodnie z obowiązującymi przepisami prawa.</w:t>
            </w:r>
          </w:p>
        </w:tc>
      </w:tr>
      <w:tr w:rsidR="00A334B7" w:rsidRPr="00A334B7" w:rsidTr="00E1332F">
        <w:trPr>
          <w:trHeight w:val="301"/>
        </w:trPr>
        <w:tc>
          <w:tcPr>
            <w:tcW w:w="1033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17D40" w:rsidRPr="00A334B7" w:rsidRDefault="00A17D40" w:rsidP="00E1332F">
            <w:pPr>
              <w:suppressAutoHyphens/>
              <w:spacing w:line="276" w:lineRule="auto"/>
            </w:pPr>
            <w:r w:rsidRPr="00A334B7">
              <w:rPr>
                <w:rFonts w:eastAsia="Times New Roman"/>
              </w:rPr>
              <w:t>Kluczowe zadania</w:t>
            </w:r>
          </w:p>
        </w:tc>
      </w:tr>
      <w:tr w:rsidR="00A17D40" w:rsidRPr="00A334B7" w:rsidTr="00E1332F">
        <w:trPr>
          <w:trHeight w:val="416"/>
        </w:trPr>
        <w:tc>
          <w:tcPr>
            <w:tcW w:w="1033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Podejmowanie działań mających na celu zapewnienie bezpieczeństwa środowiska i ludzi przybywających na terenie Campusu.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bCs/>
                <w:color w:val="auto"/>
              </w:rPr>
              <w:t>Zapewnienie prawidłowej eksploatacji i funkcjonowania systemów i urządzeń technicznych budynków, w tym systemów energetycznego, teleinformatycznego, wentylacyjnego, ogrzewania, dostaw mediów.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Prowadzenie dokumentacji urządzeń infrastruktury technicznej budynków i budowli w szczególności podlegających dozorowi Urzędu Dozoru Technicznego.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 xml:space="preserve">Prowadzenie spraw w zakresie przeglądów, konserwacji i serwisu gwarancyjnego sprzętu i urządzeń infrastruktury technicznej budynków i budowli. 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Przygotowanie specyfikacji technicznej i udział w postępowaniu w zakresie zamówień publicznych;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Prowadzenie postępowań o wartości szacunkowej netto nieprzekraczającej wyrażonej w złotych równowartości kwoty 30 000 euro.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 xml:space="preserve">Dokonywanie okresowych przeglądów stanu technicznego obiektów Uczelni, w tym stanu technicznego </w:t>
            </w:r>
            <w:proofErr w:type="spellStart"/>
            <w:r w:rsidRPr="00A334B7">
              <w:rPr>
                <w:bCs/>
                <w:color w:val="auto"/>
              </w:rPr>
              <w:t>sal</w:t>
            </w:r>
            <w:proofErr w:type="spellEnd"/>
            <w:r w:rsidRPr="00A334B7">
              <w:rPr>
                <w:bCs/>
                <w:color w:val="auto"/>
              </w:rPr>
              <w:t xml:space="preserve"> wykładowych, sieci oraz urządzeń elektroenergetycznych i telekomunikacyjnych.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>Opracowanie planów rzeczowo-finansowych w zakresie rozbudowy, przebudowy i modernizacji urządzeń infrastruktury technicznej budynków.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 xml:space="preserve">Opracowanie i nadzorowanie stosowania stanowiskowych instrukcji eksploatacji urządzeń. 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>Przygotowanie umów dotyczących przeglądów technicznych, napraw i konserwacji infrastruktury technicznej budynków.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Współpraca z Działem Nadzoru Inwestycji i Remontów w zakresie dokonywania przeglądów gwarancyjnych.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Współpraca z Działem Eksploatacji w zakresie prowadzenia nadzoru nad wykonywaniem usług porządkowych na terenie Campusu.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Planowanie, prowadzenie ewidencji i rozliczanie kosztów działalności Sekcji Utrzymania Infrastruktury Technicznej w Campusie Pasteura i Campusie Borowska.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  <w:spacing w:val="-8"/>
              </w:rPr>
              <w:t>Prowadzenie spraw związanych z monitoringiem i serwisem systemów sygnalizacji włamań i napadu</w:t>
            </w:r>
            <w:r w:rsidRPr="00A334B7">
              <w:rPr>
                <w:color w:val="auto"/>
              </w:rPr>
              <w:t>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Prowadzenie spraw związanych z konserwacją kotłowni oraz czyszczeniem przewodów spalinowych w kotłowniach.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lastRenderedPageBreak/>
              <w:t>Prowadzenie spraw związanych z obowiązkowymi okresowymi przeglądami budynków.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Dodawanie wpisów w Książce Obiektu Budowlanego w zakresie prowadzonych spraw.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714" w:right="0" w:hanging="357"/>
              <w:rPr>
                <w:color w:val="auto"/>
              </w:rPr>
            </w:pPr>
            <w:r w:rsidRPr="00A334B7">
              <w:rPr>
                <w:color w:val="auto"/>
              </w:rPr>
              <w:t>Prowadzenie rejestrów Książek Obiektu Budowlanego.</w:t>
            </w:r>
          </w:p>
          <w:p w:rsidR="00A17D40" w:rsidRPr="00A334B7" w:rsidRDefault="00A17D40" w:rsidP="00A17D40">
            <w:pPr>
              <w:pStyle w:val="Zwykytekst"/>
              <w:numPr>
                <w:ilvl w:val="0"/>
                <w:numId w:val="1"/>
              </w:numPr>
              <w:spacing w:line="276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4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Zapewnienie prawidłowego funkcjonowania systemów bezpieczeństwa przeciwpożarowego i ewakuacji.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 xml:space="preserve">Dokonywanie okresowych kontroli wraz z oceną oraz analizą stanu ochrony przeciwpożarowej w obiektach należących do Uczelni.  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  <w:szCs w:val="24"/>
              </w:rPr>
            </w:pPr>
            <w:r w:rsidRPr="00A334B7">
              <w:rPr>
                <w:color w:val="auto"/>
                <w:szCs w:val="24"/>
                <w:shd w:val="clear" w:color="auto" w:fill="FFFFFF"/>
              </w:rPr>
              <w:t>Rozpoznawanie innych miejscowych zagrożeń jakie mogą wystąpić na terenie Uczelni.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Przedstawianie propozycji rozwiązań w zakresie ochrony przeciwpożarowej.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Opiniowanie projektów inwestycyjnych i remontowych pod kątem ochrony przeciwpożarowej.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Dokonywanie przeglądu obiektów w zakresie wymogów przeciwpożarowych, w szczególności przeglądu sprzętu i urządzeń ppoż. oraz zapewnienia właściwego oznakowania i utrzymania dróg ewakuacyjnych i pożarowych.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Prowadzenie dokumentacji związanej z kontrolami w zakresie warunków ochrony przeciwpożarowej, realizacją zarządzeń pokontrolnych, wykorzystaniem przysługujących środków odwoławczych i czuwaniem nad terminową realizacją zaleceń, nakazów, decyzji i zarządzeń.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Opracowywanie i aktualizowanie wewnętrznych zarządzeń, regulaminów i instrukcji dotyczących ochrony przeciwpożarowej.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Sprawowanie opieki nad aparaturą naukowo-badawczą oraz dydaktyczną w całym okresie gwarancyjnym, tj. sprowadzanie serwisu, wysyłka urządzeń do naprawy oraz odbiór urządzenia po naprawie i przekazywanie użytkownikowi.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Współpraca z innymi jednostkami organizacyjnymi w zakresie instalowania i uruchamiania nowo pozyskanej aparatury.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Dokonywanie corocznych przeglądów sprawności technicznej sprzętów znajdujących się w salach wykładowych.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Dokonywanie okresowych przeglądów aparatury u użytkowników pod kątem prawidłowej eksploatacji i stanu technicznego.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Przeprowadzanie napraw i konserwacji aparatury w ramach własnych lub za pośrednictwem specjalistycznych firm serwisowych.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Przygotowywanie umów dotyczących przeglądów technicznych, napraw i konserwacji aparatury z jednostkami spoza Uczelni.</w:t>
            </w:r>
          </w:p>
          <w:p w:rsidR="00A17D40" w:rsidRPr="00A334B7" w:rsidRDefault="00A17D40" w:rsidP="00A17D40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right="0"/>
              <w:rPr>
                <w:color w:val="auto"/>
              </w:rPr>
            </w:pPr>
            <w:r w:rsidRPr="00A334B7">
              <w:rPr>
                <w:color w:val="auto"/>
              </w:rPr>
              <w:t>Uczestnictwo w likwidacji zużytej lub zbędnej aparatury.</w:t>
            </w:r>
          </w:p>
          <w:p w:rsidR="00A17D40" w:rsidRPr="00A334B7" w:rsidRDefault="00A17D40" w:rsidP="00E1332F">
            <w:pPr>
              <w:spacing w:line="276" w:lineRule="auto"/>
              <w:jc w:val="both"/>
              <w:rPr>
                <w:b/>
                <w:szCs w:val="24"/>
              </w:rPr>
            </w:pPr>
            <w:r w:rsidRPr="00A334B7">
              <w:rPr>
                <w:b/>
                <w:szCs w:val="24"/>
              </w:rPr>
              <w:t>Sekcja Utrzymania Infrastruktury Technicznej w Campusie Pasteura</w:t>
            </w:r>
          </w:p>
          <w:p w:rsidR="00A17D40" w:rsidRPr="00A334B7" w:rsidRDefault="00A17D40" w:rsidP="00A17D40">
            <w:pPr>
              <w:pStyle w:val="Default"/>
              <w:numPr>
                <w:ilvl w:val="1"/>
                <w:numId w:val="1"/>
              </w:numPr>
              <w:spacing w:line="276" w:lineRule="auto"/>
              <w:ind w:left="873" w:hanging="426"/>
              <w:jc w:val="both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 xml:space="preserve">Przyjmowanie zgłoszeń napraw i awarii, informowanie użytkowników o sposobie i terminie ich wykonania. </w:t>
            </w:r>
          </w:p>
          <w:p w:rsidR="00A17D40" w:rsidRPr="00A334B7" w:rsidRDefault="00A17D40" w:rsidP="00A17D40">
            <w:pPr>
              <w:pStyle w:val="Default"/>
              <w:numPr>
                <w:ilvl w:val="1"/>
                <w:numId w:val="1"/>
              </w:numPr>
              <w:spacing w:line="276" w:lineRule="auto"/>
              <w:ind w:left="873" w:hanging="426"/>
              <w:jc w:val="both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 xml:space="preserve">Świadczenie usług konserwacyjnych i drobnych napraw na rzecz jednostek organizacyjnych Uczelni, wynikających: </w:t>
            </w:r>
          </w:p>
          <w:p w:rsidR="00A17D40" w:rsidRPr="00A334B7" w:rsidRDefault="00A17D40" w:rsidP="00A17D40">
            <w:pPr>
              <w:pStyle w:val="Default"/>
              <w:numPr>
                <w:ilvl w:val="2"/>
                <w:numId w:val="4"/>
              </w:numPr>
              <w:tabs>
                <w:tab w:val="left" w:pos="1134"/>
              </w:tabs>
              <w:spacing w:line="276" w:lineRule="auto"/>
              <w:ind w:hanging="1467"/>
              <w:jc w:val="both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 xml:space="preserve">ze zgłaszanych przez nie potrzeb w tym zakresie, </w:t>
            </w:r>
          </w:p>
          <w:p w:rsidR="00A17D40" w:rsidRPr="00A334B7" w:rsidRDefault="00A17D40" w:rsidP="00A17D40">
            <w:pPr>
              <w:pStyle w:val="Default"/>
              <w:numPr>
                <w:ilvl w:val="2"/>
                <w:numId w:val="4"/>
              </w:numPr>
              <w:tabs>
                <w:tab w:val="left" w:pos="1134"/>
              </w:tabs>
              <w:spacing w:line="276" w:lineRule="auto"/>
              <w:ind w:hanging="1467"/>
              <w:jc w:val="both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 xml:space="preserve">z harmonogramu prac konserwacyjnych, </w:t>
            </w:r>
          </w:p>
          <w:p w:rsidR="00A17D40" w:rsidRPr="00A334B7" w:rsidRDefault="00A17D40" w:rsidP="00A17D40">
            <w:pPr>
              <w:pStyle w:val="Default"/>
              <w:numPr>
                <w:ilvl w:val="2"/>
                <w:numId w:val="4"/>
              </w:numPr>
              <w:tabs>
                <w:tab w:val="left" w:pos="1134"/>
              </w:tabs>
              <w:spacing w:line="276" w:lineRule="auto"/>
              <w:ind w:hanging="1467"/>
              <w:jc w:val="both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 xml:space="preserve">z zaleceń pokontrolnych. </w:t>
            </w:r>
          </w:p>
          <w:p w:rsidR="00A17D40" w:rsidRPr="00A334B7" w:rsidRDefault="00A17D40" w:rsidP="00A17D40">
            <w:pPr>
              <w:pStyle w:val="Default"/>
              <w:numPr>
                <w:ilvl w:val="1"/>
                <w:numId w:val="1"/>
              </w:numPr>
              <w:spacing w:line="276" w:lineRule="auto"/>
              <w:ind w:left="873" w:hanging="426"/>
              <w:jc w:val="both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 xml:space="preserve">Usuwanie w obiektach Uczelni zaistniałych awarii. </w:t>
            </w:r>
          </w:p>
          <w:p w:rsidR="00A17D40" w:rsidRPr="00A334B7" w:rsidRDefault="00A17D40" w:rsidP="00A17D40">
            <w:pPr>
              <w:pStyle w:val="Default"/>
              <w:numPr>
                <w:ilvl w:val="1"/>
                <w:numId w:val="1"/>
              </w:numPr>
              <w:spacing w:line="276" w:lineRule="auto"/>
              <w:ind w:left="873" w:hanging="426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>Prowadzenie dokumentacji świadczonych usług zgodnie z instrukcją obiegu dokumentów (zlecenia, karty pracy, rozliczenia materiałowe, protokoły przerobu, RW, ewidencja wydanych narzędzi i sprzętu).</w:t>
            </w:r>
          </w:p>
          <w:p w:rsidR="00A17D40" w:rsidRPr="00A334B7" w:rsidRDefault="00A17D40" w:rsidP="00E1332F">
            <w:pPr>
              <w:spacing w:line="276" w:lineRule="auto"/>
              <w:jc w:val="both"/>
              <w:rPr>
                <w:b/>
                <w:szCs w:val="24"/>
              </w:rPr>
            </w:pPr>
            <w:r w:rsidRPr="00A334B7">
              <w:rPr>
                <w:b/>
                <w:szCs w:val="24"/>
              </w:rPr>
              <w:lastRenderedPageBreak/>
              <w:t>Sekcja Utrzymania Infrastruktury Technicznej w Campusie Borowska</w:t>
            </w:r>
          </w:p>
          <w:p w:rsidR="00A17D40" w:rsidRPr="00A334B7" w:rsidRDefault="00A17D40" w:rsidP="00A17D4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 xml:space="preserve">Przyjmowanie zgłoszeń napraw i awarii, informowanie użytkowników o sposobie i terminie ich wykonania. </w:t>
            </w:r>
          </w:p>
          <w:p w:rsidR="00A17D40" w:rsidRPr="00A334B7" w:rsidRDefault="00A17D40" w:rsidP="00A17D4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 xml:space="preserve">Świadczenie usług konserwacyjnych i drobnych napraw na rzecz jednostek organizacyjnych Uczelni, wynikających: </w:t>
            </w:r>
          </w:p>
          <w:p w:rsidR="00A17D40" w:rsidRPr="00A334B7" w:rsidRDefault="00A17D40" w:rsidP="00A17D4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 xml:space="preserve">ze zgłaszanych przez nie potrzeb w tym zakresie, </w:t>
            </w:r>
          </w:p>
          <w:p w:rsidR="00A17D40" w:rsidRPr="00A334B7" w:rsidRDefault="00A17D40" w:rsidP="00A17D4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 xml:space="preserve">z harmonogramu prac konserwacyjnych, </w:t>
            </w:r>
          </w:p>
          <w:p w:rsidR="00A17D40" w:rsidRPr="00A334B7" w:rsidRDefault="00A17D40" w:rsidP="00A17D4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 xml:space="preserve">z zaleceń pokontrolnych. </w:t>
            </w:r>
          </w:p>
          <w:p w:rsidR="00A17D40" w:rsidRPr="00A334B7" w:rsidRDefault="00A17D40" w:rsidP="00A17D4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bCs/>
                <w:color w:val="auto"/>
              </w:rPr>
            </w:pPr>
            <w:r w:rsidRPr="00A334B7">
              <w:rPr>
                <w:bCs/>
                <w:color w:val="auto"/>
              </w:rPr>
              <w:t xml:space="preserve">Usuwanie w obiektach Uczelni zaistniałych awarii. </w:t>
            </w:r>
          </w:p>
          <w:p w:rsidR="00A17D40" w:rsidRPr="00A334B7" w:rsidRDefault="00A17D40" w:rsidP="00A17D40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color w:val="auto"/>
                <w:spacing w:val="4"/>
              </w:rPr>
            </w:pPr>
            <w:r w:rsidRPr="00A334B7">
              <w:rPr>
                <w:bCs/>
                <w:color w:val="auto"/>
              </w:rPr>
              <w:t>Prowadzenie dokumentacji świadczonych usług zgodnie z instrukcją obiegu dokumentów (zlecenia, karty pracy, rozliczenia materiałowe, protokoły przerobu, RW, ewidencja wydanych narzędzi i sprzętu).</w:t>
            </w:r>
          </w:p>
          <w:p w:rsidR="00A17D40" w:rsidRPr="00A334B7" w:rsidRDefault="00A17D40" w:rsidP="00E1332F">
            <w:pPr>
              <w:pStyle w:val="Default"/>
              <w:spacing w:line="276" w:lineRule="auto"/>
              <w:ind w:left="720"/>
              <w:jc w:val="both"/>
              <w:rPr>
                <w:color w:val="auto"/>
                <w:spacing w:val="4"/>
              </w:rPr>
            </w:pPr>
          </w:p>
        </w:tc>
      </w:tr>
    </w:tbl>
    <w:p w:rsidR="00D353FC" w:rsidRPr="00A334B7" w:rsidRDefault="00D353FC"/>
    <w:sectPr w:rsidR="00D353FC" w:rsidRPr="00A334B7" w:rsidSect="00026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6FB" w:rsidRDefault="000266FB" w:rsidP="000266FB">
      <w:r>
        <w:separator/>
      </w:r>
    </w:p>
  </w:endnote>
  <w:endnote w:type="continuationSeparator" w:id="0">
    <w:p w:rsidR="000266FB" w:rsidRDefault="000266FB" w:rsidP="0002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E3E" w:rsidRDefault="005C7E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E3E" w:rsidRDefault="005C7E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E3E" w:rsidRDefault="005C7E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6FB" w:rsidRDefault="000266FB" w:rsidP="000266FB">
      <w:r>
        <w:separator/>
      </w:r>
    </w:p>
  </w:footnote>
  <w:footnote w:type="continuationSeparator" w:id="0">
    <w:p w:rsidR="000266FB" w:rsidRDefault="000266FB" w:rsidP="0002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E3E" w:rsidRDefault="005C7E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E3E" w:rsidRDefault="005C7E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FB" w:rsidRDefault="000266FB" w:rsidP="000266FB">
    <w:pPr>
      <w:jc w:val="right"/>
      <w:rPr>
        <w:sz w:val="20"/>
        <w:szCs w:val="20"/>
      </w:rPr>
    </w:pPr>
    <w:r>
      <w:rPr>
        <w:sz w:val="20"/>
        <w:szCs w:val="20"/>
      </w:rPr>
      <w:t>Załącznik nr</w:t>
    </w:r>
    <w:r w:rsidR="00D62BD9">
      <w:rPr>
        <w:sz w:val="20"/>
        <w:szCs w:val="20"/>
      </w:rPr>
      <w:t xml:space="preserve"> </w:t>
    </w:r>
    <w:r w:rsidR="005C7E3E">
      <w:rPr>
        <w:sz w:val="20"/>
        <w:szCs w:val="20"/>
      </w:rPr>
      <w:t>11</w:t>
    </w:r>
    <w:r>
      <w:rPr>
        <w:sz w:val="20"/>
        <w:szCs w:val="20"/>
      </w:rPr>
      <w:t xml:space="preserve"> do zarządzenia nr  ………../XVI R/2022  Rektora Uniwersytetu Medycznego we Wrocławiu </w:t>
    </w:r>
  </w:p>
  <w:p w:rsidR="000266FB" w:rsidRDefault="000266FB" w:rsidP="000266FB">
    <w:pPr>
      <w:jc w:val="right"/>
      <w:rPr>
        <w:sz w:val="20"/>
        <w:szCs w:val="20"/>
      </w:rPr>
    </w:pPr>
    <w:r>
      <w:rPr>
        <w:sz w:val="20"/>
        <w:szCs w:val="20"/>
      </w:rPr>
      <w:t xml:space="preserve">z dnia </w:t>
    </w:r>
    <w:r w:rsidR="005C7E3E">
      <w:rPr>
        <w:sz w:val="20"/>
        <w:szCs w:val="20"/>
      </w:rPr>
      <w:t xml:space="preserve">                                  </w:t>
    </w:r>
    <w:r>
      <w:rPr>
        <w:sz w:val="20"/>
        <w:szCs w:val="20"/>
      </w:rPr>
      <w:t xml:space="preserve"> 2022 r.</w:t>
    </w:r>
  </w:p>
  <w:p w:rsidR="000266FB" w:rsidRDefault="00026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411B"/>
    <w:multiLevelType w:val="hybridMultilevel"/>
    <w:tmpl w:val="A3FC7584"/>
    <w:lvl w:ilvl="0" w:tplc="777EB958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54B27880"/>
    <w:multiLevelType w:val="hybridMultilevel"/>
    <w:tmpl w:val="45122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8CD2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24369"/>
    <w:multiLevelType w:val="hybridMultilevel"/>
    <w:tmpl w:val="8708DB1E"/>
    <w:lvl w:ilvl="0" w:tplc="68060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8CD2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35C113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D5B34"/>
    <w:multiLevelType w:val="hybridMultilevel"/>
    <w:tmpl w:val="569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8CD2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35C113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40"/>
    <w:rsid w:val="000266FB"/>
    <w:rsid w:val="005C7E3E"/>
    <w:rsid w:val="006E059D"/>
    <w:rsid w:val="00A17D40"/>
    <w:rsid w:val="00A334B7"/>
    <w:rsid w:val="00D353FC"/>
    <w:rsid w:val="00D6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15A27-5876-42F7-B4F3-1DC2E7F6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D4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7D40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17D40"/>
    <w:rPr>
      <w:rFonts w:ascii="Times New Roman" w:eastAsiaTheme="majorEastAsia" w:hAnsi="Times New Roman" w:cstheme="majorBidi"/>
      <w:b/>
      <w:bCs/>
      <w:sz w:val="26"/>
    </w:rPr>
  </w:style>
  <w:style w:type="paragraph" w:styleId="Zwykytekst">
    <w:name w:val="Plain Text"/>
    <w:basedOn w:val="Normalny"/>
    <w:link w:val="ZwykytekstZnak"/>
    <w:unhideWhenUsed/>
    <w:rsid w:val="00A17D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17D40"/>
    <w:rPr>
      <w:rFonts w:ascii="Courier New" w:hAnsi="Courier New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17D40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paragraph" w:customStyle="1" w:styleId="Default">
    <w:name w:val="Default"/>
    <w:rsid w:val="00A17D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6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6FB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26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6F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6</cp:revision>
  <dcterms:created xsi:type="dcterms:W3CDTF">2022-06-08T08:41:00Z</dcterms:created>
  <dcterms:modified xsi:type="dcterms:W3CDTF">2022-06-30T05:51:00Z</dcterms:modified>
</cp:coreProperties>
</file>