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3152"/>
        <w:gridCol w:w="109"/>
        <w:gridCol w:w="992"/>
        <w:gridCol w:w="3260"/>
        <w:gridCol w:w="1167"/>
      </w:tblGrid>
      <w:tr w:rsidR="00AD3FE9" w:rsidRPr="00C94C19" w:rsidTr="00E1332F"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Nazwa </w:t>
            </w:r>
            <w:r w:rsidRPr="00C94C19">
              <w:rPr>
                <w:szCs w:val="24"/>
              </w:rPr>
              <w:br/>
              <w:t>i symbol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pStyle w:val="Nagwek3"/>
              <w:rPr>
                <w:rFonts w:eastAsia="Times New Roman"/>
                <w:vertAlign w:val="superscript"/>
              </w:rPr>
            </w:pPr>
            <w:bookmarkStart w:id="0" w:name="_Toc20839395"/>
            <w:bookmarkStart w:id="1" w:name="_Toc104972606"/>
            <w:r w:rsidRPr="00C94C19">
              <w:rPr>
                <w:rFonts w:eastAsia="Times New Roman"/>
              </w:rPr>
              <w:t>DYREKTOR GENERALNY</w:t>
            </w:r>
            <w:bookmarkEnd w:id="0"/>
            <w:bookmarkEnd w:id="1"/>
            <w:r w:rsidRPr="00C94C19">
              <w:rPr>
                <w:rFonts w:eastAsia="Times New Roman"/>
                <w:vertAlign w:val="superscript"/>
              </w:rPr>
              <w:t xml:space="preserve"> </w:t>
            </w:r>
          </w:p>
        </w:tc>
        <w:tc>
          <w:tcPr>
            <w:tcW w:w="11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spacing w:before="120" w:after="120"/>
              <w:rPr>
                <w:b/>
                <w:sz w:val="26"/>
                <w:szCs w:val="26"/>
              </w:rPr>
            </w:pPr>
            <w:r w:rsidRPr="00C94C19">
              <w:rPr>
                <w:b/>
                <w:sz w:val="26"/>
                <w:szCs w:val="26"/>
              </w:rPr>
              <w:t>RA</w:t>
            </w:r>
          </w:p>
        </w:tc>
      </w:tr>
      <w:tr w:rsidR="00AD3FE9" w:rsidRPr="00C94C19" w:rsidTr="00E1332F"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Jednostka </w:t>
            </w:r>
            <w:r w:rsidRPr="00C94C19">
              <w:rPr>
                <w:szCs w:val="24"/>
              </w:rPr>
              <w:br/>
              <w:t>nadrzędna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spacing w:before="120" w:after="120"/>
              <w:rPr>
                <w:szCs w:val="24"/>
              </w:rPr>
            </w:pPr>
            <w:r w:rsidRPr="00C94C19">
              <w:rPr>
                <w:szCs w:val="24"/>
              </w:rPr>
              <w:t>Podległość formalna</w:t>
            </w:r>
          </w:p>
        </w:tc>
        <w:tc>
          <w:tcPr>
            <w:tcW w:w="442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merytoryczna</w:t>
            </w:r>
          </w:p>
        </w:tc>
      </w:tr>
      <w:tr w:rsidR="00AD3FE9" w:rsidRPr="00C94C19" w:rsidTr="00E1332F">
        <w:trPr>
          <w:trHeight w:val="376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rPr>
                <w:szCs w:val="24"/>
              </w:rPr>
            </w:pPr>
          </w:p>
        </w:tc>
        <w:tc>
          <w:tcPr>
            <w:tcW w:w="3152" w:type="dxa"/>
            <w:tcBorders>
              <w:bottom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Rektor</w:t>
            </w:r>
          </w:p>
        </w:tc>
        <w:tc>
          <w:tcPr>
            <w:tcW w:w="110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R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Rektor</w:t>
            </w:r>
          </w:p>
        </w:tc>
        <w:tc>
          <w:tcPr>
            <w:tcW w:w="11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R</w:t>
            </w:r>
          </w:p>
        </w:tc>
      </w:tr>
      <w:tr w:rsidR="00AD3FE9" w:rsidRPr="00C94C19" w:rsidTr="00E1332F"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jc w:val="both"/>
              <w:rPr>
                <w:szCs w:val="24"/>
              </w:rPr>
            </w:pPr>
            <w:r w:rsidRPr="00C94C19">
              <w:rPr>
                <w:szCs w:val="24"/>
              </w:rPr>
              <w:t xml:space="preserve">Jednostki </w:t>
            </w:r>
            <w:r w:rsidRPr="00C94C19">
              <w:rPr>
                <w:szCs w:val="24"/>
              </w:rPr>
              <w:br/>
              <w:t>podległe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AD3FE9" w:rsidRPr="00C94C19" w:rsidRDefault="00AD3FE9" w:rsidP="00E1332F">
            <w:pPr>
              <w:spacing w:before="120" w:after="120"/>
              <w:jc w:val="both"/>
              <w:rPr>
                <w:szCs w:val="24"/>
              </w:rPr>
            </w:pPr>
            <w:r w:rsidRPr="00C94C19">
              <w:rPr>
                <w:szCs w:val="24"/>
              </w:rPr>
              <w:t>Podległość formalna</w:t>
            </w:r>
            <w:bookmarkStart w:id="2" w:name="_GoBack"/>
            <w:bookmarkEnd w:id="2"/>
          </w:p>
        </w:tc>
        <w:tc>
          <w:tcPr>
            <w:tcW w:w="442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spacing w:before="120" w:after="120"/>
              <w:rPr>
                <w:szCs w:val="24"/>
              </w:rPr>
            </w:pPr>
            <w:r w:rsidRPr="00C94C19">
              <w:rPr>
                <w:szCs w:val="24"/>
              </w:rPr>
              <w:t>Podległość merytoryczna</w:t>
            </w:r>
          </w:p>
        </w:tc>
      </w:tr>
      <w:tr w:rsidR="00AD3FE9" w:rsidRPr="00C94C19" w:rsidTr="00E1332F">
        <w:trPr>
          <w:trHeight w:val="554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jc w:val="both"/>
              <w:rPr>
                <w:szCs w:val="24"/>
              </w:rPr>
            </w:pPr>
          </w:p>
        </w:tc>
        <w:tc>
          <w:tcPr>
            <w:tcW w:w="326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AD3FE9" w:rsidRPr="008C4153" w:rsidRDefault="00AD3FE9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Zastępca Dyrektora</w:t>
            </w:r>
            <w:r w:rsidR="0089565F" w:rsidRPr="008C4153">
              <w:rPr>
                <w:szCs w:val="24"/>
              </w:rPr>
              <w:t xml:space="preserve"> Generalnego ds. Infrastruktury, Inwestycji i Remontów</w:t>
            </w:r>
          </w:p>
          <w:p w:rsidR="00AD3FE9" w:rsidRPr="008C4153" w:rsidRDefault="00AD3FE9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Zastępca Dyrektora Generalnego ds. Organizacyjnych</w:t>
            </w:r>
          </w:p>
          <w:p w:rsidR="00AD3FE9" w:rsidRPr="008C4153" w:rsidRDefault="00AD3FE9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Zastępca Dyrektora Generalnego ds. Finansowych</w:t>
            </w:r>
          </w:p>
          <w:p w:rsidR="00AD3FE9" w:rsidRPr="008C4153" w:rsidRDefault="00AD3FE9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Biuro Dyrektora Generalnego</w:t>
            </w:r>
          </w:p>
          <w:p w:rsidR="00AD3FE9" w:rsidRPr="008C4153" w:rsidRDefault="00AD3FE9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Dział Spraw Pracowniczych</w:t>
            </w:r>
          </w:p>
          <w:p w:rsidR="0089565F" w:rsidRPr="008C4153" w:rsidRDefault="0089565F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Dział Nadzoru Właścicielskiego i Założycielskiego</w:t>
            </w:r>
          </w:p>
          <w:p w:rsidR="0089565F" w:rsidRPr="008C4153" w:rsidRDefault="0089565F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Dział Organizacyjno-Prawny</w:t>
            </w:r>
          </w:p>
          <w:p w:rsidR="0089565F" w:rsidRPr="008C4153" w:rsidRDefault="0089565F" w:rsidP="00E1332F">
            <w:pPr>
              <w:rPr>
                <w:szCs w:val="24"/>
              </w:rPr>
            </w:pPr>
          </w:p>
          <w:p w:rsidR="00AD3FE9" w:rsidRPr="008C4153" w:rsidRDefault="00AD3FE9" w:rsidP="0089565F">
            <w:pPr>
              <w:rPr>
                <w:szCs w:val="24"/>
              </w:rPr>
            </w:pPr>
            <w:r w:rsidRPr="008C4153">
              <w:rPr>
                <w:szCs w:val="24"/>
              </w:rPr>
              <w:t xml:space="preserve">Wszystkie jednostki administracji centralnej i wydziałowej (z wyłączeniem jednostek, o których mowa w § 10 </w:t>
            </w:r>
            <w:r w:rsidR="0089565F" w:rsidRPr="008C4153">
              <w:rPr>
                <w:rFonts w:eastAsia="Times New Roman"/>
                <w:szCs w:val="24"/>
                <w:lang w:eastAsia="pl-PL"/>
              </w:rPr>
              <w:t>ust. 1 pkt 8-12</w:t>
            </w:r>
            <w:r w:rsidRPr="008C4153">
              <w:rPr>
                <w:rFonts w:eastAsia="Times New Roman"/>
                <w:szCs w:val="24"/>
                <w:lang w:eastAsia="pl-PL"/>
              </w:rPr>
              <w:t>) oraz Biblioteka, Centrum Kształcenia Podyplomowego i Centrum Analiz Statystycznych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AD3FE9" w:rsidRPr="008C4153" w:rsidRDefault="00AD3FE9" w:rsidP="00E1332F">
            <w:pPr>
              <w:rPr>
                <w:szCs w:val="24"/>
                <w:lang w:val="en-US"/>
              </w:rPr>
            </w:pPr>
            <w:r w:rsidRPr="008C4153">
              <w:rPr>
                <w:szCs w:val="24"/>
                <w:lang w:val="en-US"/>
              </w:rPr>
              <w:t>AI</w:t>
            </w:r>
          </w:p>
          <w:p w:rsidR="00AD3FE9" w:rsidRPr="008C4153" w:rsidRDefault="00AD3FE9" w:rsidP="00E1332F">
            <w:pPr>
              <w:rPr>
                <w:szCs w:val="24"/>
                <w:lang w:val="en-US"/>
              </w:rPr>
            </w:pPr>
          </w:p>
          <w:p w:rsidR="00AD3FE9" w:rsidRPr="008C4153" w:rsidRDefault="00AD3FE9" w:rsidP="00E1332F">
            <w:pPr>
              <w:rPr>
                <w:szCs w:val="24"/>
                <w:lang w:val="en-US"/>
              </w:rPr>
            </w:pPr>
          </w:p>
          <w:p w:rsidR="00AD3FE9" w:rsidRPr="008C4153" w:rsidRDefault="00AD3FE9" w:rsidP="00E1332F">
            <w:pPr>
              <w:rPr>
                <w:szCs w:val="24"/>
                <w:lang w:val="en-US"/>
              </w:rPr>
            </w:pPr>
            <w:r w:rsidRPr="008C4153">
              <w:rPr>
                <w:szCs w:val="24"/>
                <w:lang w:val="en-US"/>
              </w:rPr>
              <w:t>AA</w:t>
            </w:r>
          </w:p>
          <w:p w:rsidR="00AD3FE9" w:rsidRPr="008C4153" w:rsidRDefault="00AD3FE9" w:rsidP="00E1332F">
            <w:pPr>
              <w:rPr>
                <w:szCs w:val="24"/>
                <w:lang w:val="en-US"/>
              </w:rPr>
            </w:pPr>
          </w:p>
          <w:p w:rsidR="0089565F" w:rsidRPr="008C4153" w:rsidRDefault="0089565F" w:rsidP="00E1332F">
            <w:pPr>
              <w:rPr>
                <w:szCs w:val="24"/>
                <w:lang w:val="en-US"/>
              </w:rPr>
            </w:pPr>
          </w:p>
          <w:p w:rsidR="00AD3FE9" w:rsidRPr="008C4153" w:rsidRDefault="00AD3FE9" w:rsidP="00E1332F">
            <w:pPr>
              <w:rPr>
                <w:szCs w:val="24"/>
                <w:lang w:val="en-US"/>
              </w:rPr>
            </w:pPr>
            <w:r w:rsidRPr="008C4153">
              <w:rPr>
                <w:szCs w:val="24"/>
                <w:lang w:val="en-US"/>
              </w:rPr>
              <w:t>AF</w:t>
            </w:r>
          </w:p>
          <w:p w:rsidR="00AD3FE9" w:rsidRPr="008C4153" w:rsidRDefault="00AD3FE9" w:rsidP="00E1332F">
            <w:pPr>
              <w:rPr>
                <w:szCs w:val="24"/>
                <w:lang w:val="en-US"/>
              </w:rPr>
            </w:pPr>
          </w:p>
          <w:p w:rsidR="00AD3FE9" w:rsidRPr="008C4153" w:rsidRDefault="00AD3FE9" w:rsidP="00E1332F">
            <w:pPr>
              <w:rPr>
                <w:szCs w:val="24"/>
                <w:lang w:val="en-US"/>
              </w:rPr>
            </w:pPr>
            <w:r w:rsidRPr="008C4153">
              <w:rPr>
                <w:szCs w:val="24"/>
                <w:lang w:val="en-US"/>
              </w:rPr>
              <w:t>AB</w:t>
            </w:r>
          </w:p>
          <w:p w:rsidR="00AD3FE9" w:rsidRPr="008C4153" w:rsidRDefault="00AD3FE9" w:rsidP="00E1332F">
            <w:pPr>
              <w:rPr>
                <w:szCs w:val="24"/>
                <w:lang w:val="en-US"/>
              </w:rPr>
            </w:pPr>
            <w:r w:rsidRPr="008C4153">
              <w:rPr>
                <w:szCs w:val="24"/>
                <w:lang w:val="en-US"/>
              </w:rPr>
              <w:t>AP</w:t>
            </w:r>
          </w:p>
          <w:p w:rsidR="0089565F" w:rsidRPr="008C4153" w:rsidRDefault="0089565F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AN</w:t>
            </w:r>
          </w:p>
          <w:p w:rsidR="0089565F" w:rsidRPr="008C4153" w:rsidRDefault="0089565F" w:rsidP="00E1332F">
            <w:pPr>
              <w:rPr>
                <w:szCs w:val="24"/>
              </w:rPr>
            </w:pPr>
          </w:p>
          <w:p w:rsidR="0089565F" w:rsidRPr="008C4153" w:rsidRDefault="0089565F" w:rsidP="00E1332F">
            <w:pPr>
              <w:rPr>
                <w:szCs w:val="24"/>
              </w:rPr>
            </w:pPr>
          </w:p>
          <w:p w:rsidR="0089565F" w:rsidRPr="008C4153" w:rsidRDefault="0089565F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AO</w:t>
            </w:r>
          </w:p>
          <w:p w:rsidR="00AD3FE9" w:rsidRPr="008C4153" w:rsidRDefault="00AD3FE9" w:rsidP="00E1332F">
            <w:pPr>
              <w:rPr>
                <w:szCs w:val="24"/>
              </w:rPr>
            </w:pPr>
          </w:p>
          <w:p w:rsidR="00AD3FE9" w:rsidRPr="008C4153" w:rsidRDefault="00AD3FE9" w:rsidP="00E1332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</w:tcPr>
          <w:p w:rsidR="00AD3FE9" w:rsidRPr="008C4153" w:rsidRDefault="00AD3FE9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Zastępca Dyrektora Generalnego ds. Infrastruktury</w:t>
            </w:r>
            <w:r w:rsidR="0089565F" w:rsidRPr="008C4153">
              <w:rPr>
                <w:szCs w:val="24"/>
              </w:rPr>
              <w:t>, Inwestycji i Remontów</w:t>
            </w:r>
          </w:p>
          <w:p w:rsidR="00AD3FE9" w:rsidRPr="008C4153" w:rsidRDefault="00AD3FE9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Zastępca Dyrektora Generalnego ds. Organizacyjnych</w:t>
            </w:r>
          </w:p>
          <w:p w:rsidR="00AD3FE9" w:rsidRPr="008C4153" w:rsidRDefault="00AD3FE9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Zastępca Dyrektora Generalnego ds. Finansowych</w:t>
            </w:r>
          </w:p>
          <w:p w:rsidR="00AD3FE9" w:rsidRPr="008C4153" w:rsidRDefault="00AD3FE9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Biuro Dyrektora Generalnego</w:t>
            </w:r>
          </w:p>
          <w:p w:rsidR="00AD3FE9" w:rsidRPr="008C4153" w:rsidRDefault="00AD3FE9" w:rsidP="00E1332F">
            <w:pPr>
              <w:rPr>
                <w:szCs w:val="24"/>
              </w:rPr>
            </w:pPr>
            <w:r w:rsidRPr="008C4153">
              <w:rPr>
                <w:szCs w:val="24"/>
              </w:rPr>
              <w:t>Dział Spraw Pracowniczych</w:t>
            </w:r>
          </w:p>
          <w:p w:rsidR="0089565F" w:rsidRPr="008C4153" w:rsidRDefault="0089565F" w:rsidP="0089565F">
            <w:pPr>
              <w:rPr>
                <w:szCs w:val="24"/>
              </w:rPr>
            </w:pPr>
            <w:r w:rsidRPr="008C4153">
              <w:rPr>
                <w:szCs w:val="24"/>
              </w:rPr>
              <w:t>Dział Nadzoru Właścicielskiego i Założycielskiego</w:t>
            </w:r>
          </w:p>
          <w:p w:rsidR="0089565F" w:rsidRPr="008C4153" w:rsidRDefault="0089565F" w:rsidP="0089565F">
            <w:pPr>
              <w:rPr>
                <w:szCs w:val="24"/>
              </w:rPr>
            </w:pPr>
            <w:r w:rsidRPr="008C4153">
              <w:rPr>
                <w:szCs w:val="24"/>
              </w:rPr>
              <w:t>Dział Organizacyjno-Prawny</w:t>
            </w:r>
          </w:p>
          <w:p w:rsidR="00AD3FE9" w:rsidRPr="008C4153" w:rsidRDefault="00AD3FE9" w:rsidP="00E1332F">
            <w:pPr>
              <w:rPr>
                <w:szCs w:val="24"/>
              </w:rPr>
            </w:pPr>
          </w:p>
        </w:tc>
        <w:tc>
          <w:tcPr>
            <w:tcW w:w="11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3FE9" w:rsidRPr="00274BF2" w:rsidRDefault="00AD3FE9" w:rsidP="00E1332F">
            <w:pPr>
              <w:rPr>
                <w:szCs w:val="24"/>
                <w:lang w:val="en-US"/>
              </w:rPr>
            </w:pPr>
            <w:r w:rsidRPr="00274BF2">
              <w:rPr>
                <w:szCs w:val="24"/>
                <w:lang w:val="en-US"/>
              </w:rPr>
              <w:t>AI</w:t>
            </w:r>
          </w:p>
          <w:p w:rsidR="00AD3FE9" w:rsidRPr="00D73D2E" w:rsidRDefault="00AD3FE9" w:rsidP="00E1332F">
            <w:pPr>
              <w:rPr>
                <w:szCs w:val="24"/>
                <w:lang w:val="en-US"/>
              </w:rPr>
            </w:pPr>
          </w:p>
          <w:p w:rsidR="00AD3FE9" w:rsidRPr="00D73D2E" w:rsidRDefault="00AD3FE9" w:rsidP="00E1332F">
            <w:pPr>
              <w:rPr>
                <w:szCs w:val="24"/>
                <w:lang w:val="en-US"/>
              </w:rPr>
            </w:pPr>
          </w:p>
          <w:p w:rsidR="00AD3FE9" w:rsidRPr="00D73D2E" w:rsidRDefault="00AD3FE9" w:rsidP="00E1332F">
            <w:pPr>
              <w:rPr>
                <w:szCs w:val="24"/>
                <w:lang w:val="en-US"/>
              </w:rPr>
            </w:pPr>
            <w:r w:rsidRPr="00D73D2E">
              <w:rPr>
                <w:szCs w:val="24"/>
                <w:lang w:val="en-US"/>
              </w:rPr>
              <w:t>AA</w:t>
            </w:r>
          </w:p>
          <w:p w:rsidR="00AD3FE9" w:rsidRPr="00D73D2E" w:rsidRDefault="00AD3FE9" w:rsidP="00E1332F">
            <w:pPr>
              <w:rPr>
                <w:szCs w:val="24"/>
                <w:lang w:val="en-US"/>
              </w:rPr>
            </w:pPr>
          </w:p>
          <w:p w:rsidR="0089565F" w:rsidRDefault="0089565F" w:rsidP="00E1332F">
            <w:pPr>
              <w:rPr>
                <w:szCs w:val="24"/>
                <w:lang w:val="en-US"/>
              </w:rPr>
            </w:pPr>
          </w:p>
          <w:p w:rsidR="00AD3FE9" w:rsidRPr="00D73D2E" w:rsidRDefault="00AD3FE9" w:rsidP="00E1332F">
            <w:pPr>
              <w:rPr>
                <w:szCs w:val="24"/>
                <w:lang w:val="en-US"/>
              </w:rPr>
            </w:pPr>
            <w:r w:rsidRPr="00D73D2E">
              <w:rPr>
                <w:szCs w:val="24"/>
                <w:lang w:val="en-US"/>
              </w:rPr>
              <w:t>AF</w:t>
            </w:r>
          </w:p>
          <w:p w:rsidR="00AD3FE9" w:rsidRPr="00D73D2E" w:rsidRDefault="00AD3FE9" w:rsidP="00E1332F">
            <w:pPr>
              <w:rPr>
                <w:szCs w:val="24"/>
                <w:lang w:val="en-US"/>
              </w:rPr>
            </w:pPr>
          </w:p>
          <w:p w:rsidR="00AD3FE9" w:rsidRPr="00D73D2E" w:rsidRDefault="00AD3FE9" w:rsidP="00E1332F">
            <w:pPr>
              <w:rPr>
                <w:szCs w:val="24"/>
                <w:lang w:val="en-US"/>
              </w:rPr>
            </w:pPr>
            <w:r w:rsidRPr="00D73D2E">
              <w:rPr>
                <w:szCs w:val="24"/>
                <w:lang w:val="en-US"/>
              </w:rPr>
              <w:t>AB</w:t>
            </w:r>
          </w:p>
          <w:p w:rsidR="00AD3FE9" w:rsidRDefault="00AD3FE9" w:rsidP="00E1332F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AP</w:t>
            </w:r>
          </w:p>
          <w:p w:rsidR="0089565F" w:rsidRDefault="0089565F" w:rsidP="00E1332F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AN</w:t>
            </w:r>
          </w:p>
          <w:p w:rsidR="0089565F" w:rsidRDefault="0089565F" w:rsidP="00E1332F">
            <w:pPr>
              <w:rPr>
                <w:szCs w:val="24"/>
                <w:lang w:val="en-GB"/>
              </w:rPr>
            </w:pPr>
          </w:p>
          <w:p w:rsidR="0089565F" w:rsidRDefault="0089565F" w:rsidP="00E1332F">
            <w:pPr>
              <w:rPr>
                <w:szCs w:val="24"/>
                <w:lang w:val="en-GB"/>
              </w:rPr>
            </w:pPr>
          </w:p>
          <w:p w:rsidR="0089565F" w:rsidRPr="00C94C19" w:rsidRDefault="0089565F" w:rsidP="00E1332F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AO</w:t>
            </w:r>
          </w:p>
        </w:tc>
      </w:tr>
      <w:tr w:rsidR="00AD3FE9" w:rsidRPr="00141A67" w:rsidTr="00E1332F">
        <w:tc>
          <w:tcPr>
            <w:tcW w:w="10187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D3FE9" w:rsidRPr="00141A67" w:rsidRDefault="00AD3FE9" w:rsidP="00E1332F">
            <w:pPr>
              <w:rPr>
                <w:sz w:val="8"/>
                <w:szCs w:val="8"/>
              </w:rPr>
            </w:pPr>
          </w:p>
        </w:tc>
      </w:tr>
      <w:tr w:rsidR="00AD3FE9" w:rsidRPr="00C94C19" w:rsidTr="00E1332F">
        <w:tc>
          <w:tcPr>
            <w:tcW w:w="1018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spacing w:before="120" w:after="120" w:line="276" w:lineRule="auto"/>
              <w:rPr>
                <w:szCs w:val="24"/>
              </w:rPr>
            </w:pPr>
            <w:r w:rsidRPr="00C94C19">
              <w:rPr>
                <w:szCs w:val="24"/>
              </w:rPr>
              <w:t xml:space="preserve">Cel działalności </w:t>
            </w:r>
          </w:p>
        </w:tc>
      </w:tr>
      <w:tr w:rsidR="00AD3FE9" w:rsidRPr="00141A67" w:rsidTr="00E1332F">
        <w:trPr>
          <w:trHeight w:val="1416"/>
        </w:trPr>
        <w:tc>
          <w:tcPr>
            <w:tcW w:w="10187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3FE9" w:rsidRPr="00141A67" w:rsidRDefault="00AD3FE9" w:rsidP="00AD3FE9">
            <w:pPr>
              <w:pStyle w:val="Akapitzlist"/>
              <w:numPr>
                <w:ilvl w:val="0"/>
                <w:numId w:val="2"/>
              </w:numPr>
              <w:spacing w:before="240" w:line="276" w:lineRule="auto"/>
              <w:ind w:left="341" w:right="11" w:hanging="284"/>
              <w:rPr>
                <w:color w:val="auto"/>
                <w:szCs w:val="24"/>
              </w:rPr>
            </w:pPr>
            <w:r w:rsidRPr="00C94C19">
              <w:rPr>
                <w:color w:val="auto"/>
                <w:szCs w:val="24"/>
              </w:rPr>
              <w:t xml:space="preserve">Profesjonalne gospodarowanie mieniem, kierowanie gospodarką finansową, zarządzanie personelem administracyjnym, nadzór nad sytuacją ekonomiczną, zapewnienie administracyjnej obsługi procesu badawczego i dydaktycznego Uczelni, udział w tworzeniu Strategii Uczelni oraz jej realizacja, wsparcie Rektora w opracowaniu i wdrażaniu modeli zarządczych w Uczelni, </w:t>
            </w:r>
          </w:p>
        </w:tc>
      </w:tr>
      <w:tr w:rsidR="00AD3FE9" w:rsidRPr="00C94C19" w:rsidTr="00E1332F">
        <w:trPr>
          <w:trHeight w:val="279"/>
        </w:trPr>
        <w:tc>
          <w:tcPr>
            <w:tcW w:w="1018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spacing w:before="120" w:after="120" w:line="276" w:lineRule="auto"/>
              <w:rPr>
                <w:szCs w:val="24"/>
              </w:rPr>
            </w:pPr>
            <w:r w:rsidRPr="00C94C19">
              <w:rPr>
                <w:szCs w:val="24"/>
              </w:rPr>
              <w:t>Kluczowe zadania</w:t>
            </w:r>
          </w:p>
        </w:tc>
      </w:tr>
      <w:tr w:rsidR="00AD3FE9" w:rsidRPr="00C94C19" w:rsidTr="00E1332F">
        <w:trPr>
          <w:trHeight w:val="50"/>
        </w:trPr>
        <w:tc>
          <w:tcPr>
            <w:tcW w:w="1018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3FE9" w:rsidRPr="00C94C19" w:rsidRDefault="00AD3FE9" w:rsidP="00E1332F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  <w:u w:val="single"/>
              </w:rPr>
            </w:pPr>
            <w:r w:rsidRPr="00C94C19">
              <w:rPr>
                <w:spacing w:val="-6"/>
                <w:szCs w:val="24"/>
                <w:u w:val="single"/>
              </w:rPr>
              <w:t>Gospodarowanie mieniem Uczelni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 xml:space="preserve">Gospodarowanie mieniem Uczelni, w tym w szczególności podejmowanie decyzji i dokonywanie czynności prawnych dotyczących mienia Uczelni w zakresie zwykłego zarządu, z wyłączeniem spraw zastrzeżonych w ustawie lub statucie dla organów Uczelni lub funkcji kierowniczych. </w:t>
            </w:r>
          </w:p>
          <w:p w:rsidR="00EB6DE8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 xml:space="preserve">Podejmowanie działań i decyzji zapewniających zachowanie, właściwe wykorzystanie majątku Uczelni oraz jego powiększanie i rozwój; </w:t>
            </w:r>
            <w:r w:rsidRPr="00C94C19">
              <w:rPr>
                <w:spacing w:val="-6"/>
                <w:szCs w:val="20"/>
              </w:rPr>
              <w:t xml:space="preserve">w szczególności </w:t>
            </w:r>
            <w:r w:rsidRPr="00C94C19">
              <w:rPr>
                <w:spacing w:val="-6"/>
                <w:szCs w:val="24"/>
              </w:rPr>
              <w:t>określanie zasad dotyczących zarządzania majątkiem, sprawowanie kontroli nad racjonalnym wykorzystaniem lokali i wyposażenia</w:t>
            </w:r>
            <w:r w:rsidR="00EB6DE8">
              <w:rPr>
                <w:spacing w:val="-6"/>
                <w:szCs w:val="24"/>
              </w:rPr>
              <w:t xml:space="preserve">. 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lastRenderedPageBreak/>
              <w:t>Nadzór nad należytym wykorzystaniem, zabezpieczeniem i ochroną mienia, chyba że odpowiedzialność z tego tytułu spoczywa na innej osobie.</w:t>
            </w:r>
          </w:p>
          <w:p w:rsidR="00AD3FE9" w:rsidRPr="00C94C19" w:rsidRDefault="00AD3FE9" w:rsidP="00E1332F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  <w:u w:val="single"/>
              </w:rPr>
            </w:pPr>
            <w:r w:rsidRPr="00C94C19">
              <w:rPr>
                <w:spacing w:val="-6"/>
                <w:szCs w:val="24"/>
                <w:u w:val="single"/>
              </w:rPr>
              <w:t>Kierowanie gospodarką finansową Uczelni</w:t>
            </w:r>
          </w:p>
          <w:p w:rsidR="00EB6DE8" w:rsidRDefault="00EB6DE8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Nadzór nad p</w:t>
            </w:r>
            <w:r w:rsidR="00AD3FE9" w:rsidRPr="00C94C19">
              <w:rPr>
                <w:spacing w:val="-6"/>
                <w:szCs w:val="24"/>
              </w:rPr>
              <w:t>rzygotowanie</w:t>
            </w:r>
            <w:r>
              <w:rPr>
                <w:spacing w:val="-6"/>
                <w:szCs w:val="24"/>
              </w:rPr>
              <w:t>m</w:t>
            </w:r>
            <w:r w:rsidR="00AD3FE9" w:rsidRPr="00C94C19">
              <w:rPr>
                <w:spacing w:val="-6"/>
                <w:szCs w:val="24"/>
              </w:rPr>
              <w:t xml:space="preserve"> planów oraz aktualizacj</w:t>
            </w:r>
            <w:r>
              <w:rPr>
                <w:spacing w:val="-6"/>
                <w:szCs w:val="24"/>
              </w:rPr>
              <w:t>ą</w:t>
            </w:r>
            <w:r w:rsidR="00AD3FE9" w:rsidRPr="00C94C19">
              <w:rPr>
                <w:spacing w:val="-6"/>
                <w:szCs w:val="24"/>
              </w:rPr>
              <w:t xml:space="preserve"> planów rzeczowo-finansowych Uczelni</w:t>
            </w:r>
            <w:r>
              <w:rPr>
                <w:spacing w:val="-6"/>
                <w:szCs w:val="24"/>
              </w:rPr>
              <w:t xml:space="preserve">. </w:t>
            </w:r>
          </w:p>
          <w:p w:rsidR="00AD3FE9" w:rsidRPr="00C94C19" w:rsidRDefault="00EB6DE8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B</w:t>
            </w:r>
            <w:r w:rsidR="00AD3FE9" w:rsidRPr="00C94C19">
              <w:rPr>
                <w:spacing w:val="-6"/>
                <w:szCs w:val="24"/>
              </w:rPr>
              <w:t>ieżąc</w:t>
            </w:r>
            <w:r>
              <w:rPr>
                <w:spacing w:val="-6"/>
                <w:szCs w:val="24"/>
              </w:rPr>
              <w:t>a</w:t>
            </w:r>
            <w:r w:rsidR="00AD3FE9" w:rsidRPr="00C94C19">
              <w:rPr>
                <w:spacing w:val="-6"/>
                <w:szCs w:val="24"/>
              </w:rPr>
              <w:t xml:space="preserve"> realizacja polityki finansowej, w tym dbałość o efektywność (celowość i oszczędność) oraz przestrzeganie procedur związanych z wydatkowaniem publicznych środków finansowych,</w:t>
            </w:r>
          </w:p>
          <w:p w:rsidR="00AD3FE9" w:rsidRPr="00C94C19" w:rsidRDefault="00EB6DE8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Nadzór nad p</w:t>
            </w:r>
            <w:r w:rsidR="00AD3FE9" w:rsidRPr="00C94C19">
              <w:rPr>
                <w:spacing w:val="-6"/>
                <w:szCs w:val="24"/>
              </w:rPr>
              <w:t>rzygotowanie</w:t>
            </w:r>
            <w:r>
              <w:rPr>
                <w:spacing w:val="-6"/>
                <w:szCs w:val="24"/>
              </w:rPr>
              <w:t>m</w:t>
            </w:r>
            <w:r w:rsidR="00AD3FE9" w:rsidRPr="00C94C19">
              <w:rPr>
                <w:spacing w:val="-6"/>
                <w:szCs w:val="24"/>
              </w:rPr>
              <w:t xml:space="preserve"> sprawozdań z wykonania planów rzeczowo – finansowych, zarówno rocznych, jak i śródokresowych, </w:t>
            </w:r>
          </w:p>
          <w:p w:rsidR="00AD3FE9" w:rsidRPr="00C94C19" w:rsidRDefault="00EB6DE8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>
              <w:rPr>
                <w:szCs w:val="24"/>
              </w:rPr>
              <w:t>Nadzór nad s</w:t>
            </w:r>
            <w:r w:rsidR="00AD3FE9" w:rsidRPr="00C94C19">
              <w:rPr>
                <w:szCs w:val="24"/>
              </w:rPr>
              <w:t>porządzanie</w:t>
            </w:r>
            <w:r>
              <w:rPr>
                <w:szCs w:val="24"/>
              </w:rPr>
              <w:t>m</w:t>
            </w:r>
            <w:r w:rsidR="00AD3FE9" w:rsidRPr="00C94C19">
              <w:rPr>
                <w:szCs w:val="24"/>
              </w:rPr>
              <w:t xml:space="preserve"> sprawozdań statystycznych, raportów oraz analiz, zarówno rocznych, jak i śródokresowych, w zakresie: przychodów i kosztów Uczelni, stanu zobowiązań, należności, poręczeń oraz gwarancji 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>Nadzór nad sytuacją ekonomiczną Uczelni, ze szczególnym uwzględnieniem dbałości o dodatni wynik finansowy,</w:t>
            </w:r>
          </w:p>
          <w:p w:rsidR="00AD3FE9" w:rsidRPr="00C94C19" w:rsidRDefault="00AD3FE9" w:rsidP="00E1332F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  <w:u w:val="single"/>
              </w:rPr>
            </w:pPr>
            <w:r w:rsidRPr="00C94C19">
              <w:rPr>
                <w:spacing w:val="-6"/>
                <w:szCs w:val="24"/>
                <w:u w:val="single"/>
              </w:rPr>
              <w:t>Zarządzanie personelem administracyjnym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>Ustalanie i prowadzenie polityki kadrowej oraz podejmowanie czynności w zakresie polityki osobowej i płacowej Uczelni w stosunku do wszystkich pracowników niebędących nauczycielami akademickimi, z wyłączeniem pracowników zatrudnionych w grupie naukowo – technicznej pracowników podległych formalnie i merytorycznie bezpośrednio Rektorowi, w zakresie określonym w pełnomocnictwie, w szczególności: nawiązywanie, zmienianie i rozwiązywanie stosunku pracy, ocena i rozwój pracowników, motywowanie, oraz wymierzanie kar za naruszenie porządku i dyscypliny pracy, dbałość o sprawy socjalne.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t>Tworzenie i realizacja polityki wynagradzania Uniwersytetu.</w:t>
            </w:r>
          </w:p>
          <w:p w:rsidR="00AD3FE9" w:rsidRPr="00C94C19" w:rsidRDefault="00AD3FE9" w:rsidP="00E1332F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  <w:u w:val="single"/>
              </w:rPr>
            </w:pPr>
            <w:r w:rsidRPr="00C94C19">
              <w:rPr>
                <w:spacing w:val="-6"/>
                <w:szCs w:val="24"/>
                <w:u w:val="single"/>
              </w:rPr>
              <w:t>Pozostałe zadania: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>Zapewnienie sprawnego funkcjonowania Uczelni w zakresie obsługi administracyjnej i organizacyjnej procesu naukowego i dydaktycznego.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>Tworzenie projektu Strategii Uczelni w obszarze mienia, polityki kadrowej personelu administracyjnego, gospodarki finansowej Uczelni.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 xml:space="preserve">Zapewnienie realizacji celów wchodzących w zakres zadań Dyrektora Generalnego, wynikających ze Strategii Uczelni, 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>Inicjowanie i nadzór nad wdrażaniem projektów i inicjatyw w obszarze usprawniania zarządzania Uczelnią.</w:t>
            </w:r>
          </w:p>
          <w:p w:rsidR="00AD3FE9" w:rsidRPr="00D73D2E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>Nadzór nad Zastępcami Dyrektora Generalnego w zakresie zadań realizowanych przez Zastępców oraz jednostek im podległych.</w:t>
            </w:r>
            <w:r w:rsidRPr="00C94C19">
              <w:rPr>
                <w:strike/>
                <w:spacing w:val="-6"/>
                <w:szCs w:val="24"/>
              </w:rPr>
              <w:t xml:space="preserve"> 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 xml:space="preserve">Nadzór nad zapewnieniem warunków bezpieczeństwa i higieny pracy oraz ochrony przeciwpożarowej na terenie Uczelni, a także ochrony zdrowia pracowników. 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 xml:space="preserve">Nadzorowanie realizacji zadań obronnych w warunkach zewnętrznego zagrożenia bezpieczeństwa państwa oraz sytuacjach kryzysowych. 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>Zapewnienie ochrony danych osobowych i informacji niejawnych.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  <w:r w:rsidRPr="00C94C19">
              <w:rPr>
                <w:spacing w:val="-6"/>
                <w:szCs w:val="24"/>
              </w:rPr>
              <w:t>Reprezentowanie Uczelni, w tym zawieranie umów oraz składanie innych oświadczeń w zakresie udzielonego pełnomocnictwa.</w:t>
            </w:r>
          </w:p>
          <w:p w:rsidR="00AD3FE9" w:rsidRPr="00C94C19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zCs w:val="24"/>
              </w:rPr>
            </w:pPr>
            <w:r w:rsidRPr="00C94C19">
              <w:rPr>
                <w:spacing w:val="-6"/>
                <w:szCs w:val="24"/>
              </w:rPr>
              <w:t>Nadzór nad działalnością wszystkich jednostek organizacyjnych Uczelni w zakresie prawidłowego, rzetelnego i terminowego wprowadzania oraz uzupełnienia danych w systemie POL-on.</w:t>
            </w:r>
          </w:p>
          <w:p w:rsidR="00AD3FE9" w:rsidRPr="00141A67" w:rsidRDefault="00AD3FE9" w:rsidP="00AD3FE9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zCs w:val="24"/>
              </w:rPr>
            </w:pPr>
            <w:r w:rsidRPr="00C94C19">
              <w:rPr>
                <w:szCs w:val="24"/>
              </w:rPr>
              <w:t xml:space="preserve">Zapewnienie nadzoru nad podmiotami leczniczymi, dla których Uczelnia jest podmiotem tworzącym oraz nad spółkami, w których Uczelnia posiada udziały lub akcje we współpracy z Prorektorem ds. Klinicznych. </w:t>
            </w:r>
          </w:p>
          <w:p w:rsidR="00AD3FE9" w:rsidRPr="00C94C19" w:rsidRDefault="00AD3FE9" w:rsidP="00E1332F">
            <w:pPr>
              <w:spacing w:before="240" w:line="276" w:lineRule="auto"/>
              <w:rPr>
                <w:i/>
                <w:szCs w:val="24"/>
              </w:rPr>
            </w:pPr>
            <w:r w:rsidRPr="00C94C19">
              <w:rPr>
                <w:i/>
                <w:szCs w:val="24"/>
              </w:rPr>
              <w:lastRenderedPageBreak/>
              <w:t>Kompetencje oraz tryb obsadzania stanowiska Dyrektora Generalnego określa Statut. Dyrektor Generalny reprezentuje Uczelnię w zakresie pełnomocnictwa udzielonego przez Rektora.</w:t>
            </w:r>
          </w:p>
          <w:p w:rsidR="00AD3FE9" w:rsidRPr="00C94C19" w:rsidRDefault="00AD3FE9" w:rsidP="00E1332F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spacing w:val="-6"/>
                <w:szCs w:val="24"/>
              </w:rPr>
            </w:pPr>
          </w:p>
        </w:tc>
      </w:tr>
    </w:tbl>
    <w:p w:rsidR="00D353FC" w:rsidRDefault="00D353FC"/>
    <w:sectPr w:rsidR="00D353FC" w:rsidSect="00D63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F5" w:rsidRDefault="001243F5" w:rsidP="00AD3FE9">
      <w:r>
        <w:separator/>
      </w:r>
    </w:p>
  </w:endnote>
  <w:endnote w:type="continuationSeparator" w:id="0">
    <w:p w:rsidR="001243F5" w:rsidRDefault="001243F5" w:rsidP="00AD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10" w:rsidRDefault="00D63C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10" w:rsidRDefault="00D63C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10" w:rsidRDefault="00D63C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F5" w:rsidRDefault="001243F5" w:rsidP="00AD3FE9">
      <w:r>
        <w:separator/>
      </w:r>
    </w:p>
  </w:footnote>
  <w:footnote w:type="continuationSeparator" w:id="0">
    <w:p w:rsidR="001243F5" w:rsidRDefault="001243F5" w:rsidP="00AD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10" w:rsidRDefault="00D63C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10" w:rsidRDefault="00D63C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C10" w:rsidRDefault="00D63C10" w:rsidP="00D63C10">
    <w:pPr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 w:rsidR="00B76B3E">
      <w:rPr>
        <w:sz w:val="20"/>
        <w:szCs w:val="20"/>
      </w:rPr>
      <w:t xml:space="preserve">3 </w:t>
    </w:r>
    <w:r>
      <w:rPr>
        <w:sz w:val="20"/>
        <w:szCs w:val="20"/>
      </w:rPr>
      <w:t xml:space="preserve">do zarządzenia nr  ………../XVI R/2022  Rektora Uniwersytetu Medycznego we Wrocławiu </w:t>
    </w:r>
  </w:p>
  <w:p w:rsidR="00D63C10" w:rsidRDefault="00D63C10" w:rsidP="00D63C10">
    <w:pPr>
      <w:jc w:val="right"/>
      <w:rPr>
        <w:sz w:val="20"/>
        <w:szCs w:val="20"/>
      </w:rPr>
    </w:pPr>
    <w:r>
      <w:rPr>
        <w:sz w:val="20"/>
        <w:szCs w:val="20"/>
      </w:rPr>
      <w:t xml:space="preserve">z dnia </w:t>
    </w:r>
    <w:r w:rsidR="00B76B3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2022 r.</w:t>
    </w:r>
  </w:p>
  <w:p w:rsidR="00D63C10" w:rsidRDefault="00D63C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5883"/>
    <w:multiLevelType w:val="hybridMultilevel"/>
    <w:tmpl w:val="EB38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033106"/>
    <w:multiLevelType w:val="hybridMultilevel"/>
    <w:tmpl w:val="DC646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E9"/>
    <w:rsid w:val="00061884"/>
    <w:rsid w:val="001243F5"/>
    <w:rsid w:val="00274BF2"/>
    <w:rsid w:val="0089565F"/>
    <w:rsid w:val="008C4153"/>
    <w:rsid w:val="00AD3FE9"/>
    <w:rsid w:val="00B76B3E"/>
    <w:rsid w:val="00D353FC"/>
    <w:rsid w:val="00D63C10"/>
    <w:rsid w:val="00EB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A72A6-8DF2-4ABD-92E4-976D38D7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FE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FE9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D3FE9"/>
    <w:rPr>
      <w:rFonts w:ascii="Times New Roman" w:eastAsiaTheme="majorEastAsia" w:hAnsi="Times New Roman" w:cstheme="majorBidi"/>
      <w:b/>
      <w:bCs/>
      <w:sz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AD3F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3FE9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D3FE9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character" w:styleId="Odwoanieprzypisudolnego">
    <w:name w:val="footnote reference"/>
    <w:semiHidden/>
    <w:unhideWhenUsed/>
    <w:rsid w:val="00AD3F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3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3C10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3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3C1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5</cp:revision>
  <dcterms:created xsi:type="dcterms:W3CDTF">2022-06-24T13:08:00Z</dcterms:created>
  <dcterms:modified xsi:type="dcterms:W3CDTF">2022-06-24T13:22:00Z</dcterms:modified>
</cp:coreProperties>
</file>