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61C" w:rsidRDefault="00E3461C" w:rsidP="00E3461C">
      <w:pPr>
        <w:spacing w:after="0" w:line="240" w:lineRule="auto"/>
        <w:ind w:firstLine="5245"/>
        <w:rPr>
          <w:rFonts w:ascii="Times New Roman" w:hAnsi="Times New Roman" w:cs="Times New Roman"/>
          <w:sz w:val="20"/>
          <w:szCs w:val="20"/>
        </w:rPr>
      </w:pPr>
      <w:r>
        <w:rPr>
          <w:rFonts w:ascii="Times New Roman" w:hAnsi="Times New Roman" w:cs="Times New Roman"/>
          <w:sz w:val="20"/>
          <w:szCs w:val="20"/>
        </w:rPr>
        <w:t xml:space="preserve">Załącznik do uchwały nr </w:t>
      </w:r>
      <w:r w:rsidR="006F22E9">
        <w:rPr>
          <w:rFonts w:ascii="Times New Roman" w:hAnsi="Times New Roman" w:cs="Times New Roman"/>
          <w:sz w:val="20"/>
          <w:szCs w:val="20"/>
        </w:rPr>
        <w:t>2241</w:t>
      </w:r>
    </w:p>
    <w:p w:rsidR="00E3461C" w:rsidRDefault="00E3461C" w:rsidP="00E3461C">
      <w:pPr>
        <w:spacing w:after="0" w:line="240" w:lineRule="auto"/>
        <w:ind w:firstLine="5245"/>
        <w:rPr>
          <w:rFonts w:ascii="Times New Roman" w:hAnsi="Times New Roman" w:cs="Times New Roman"/>
          <w:sz w:val="20"/>
          <w:szCs w:val="20"/>
        </w:rPr>
      </w:pPr>
      <w:r>
        <w:rPr>
          <w:rFonts w:ascii="Times New Roman" w:hAnsi="Times New Roman" w:cs="Times New Roman"/>
          <w:sz w:val="20"/>
          <w:szCs w:val="20"/>
        </w:rPr>
        <w:t>Senatu Uniwersytetu Medycznego</w:t>
      </w:r>
      <w:r w:rsidRPr="00D276E7">
        <w:rPr>
          <w:rFonts w:ascii="Times New Roman" w:hAnsi="Times New Roman" w:cs="Times New Roman"/>
          <w:sz w:val="20"/>
          <w:szCs w:val="20"/>
        </w:rPr>
        <w:t xml:space="preserve"> </w:t>
      </w:r>
      <w:r>
        <w:rPr>
          <w:rFonts w:ascii="Times New Roman" w:hAnsi="Times New Roman" w:cs="Times New Roman"/>
          <w:sz w:val="20"/>
          <w:szCs w:val="20"/>
        </w:rPr>
        <w:t>we Wrocławiu</w:t>
      </w:r>
    </w:p>
    <w:p w:rsidR="00E3461C" w:rsidRDefault="006F22E9" w:rsidP="00E3461C">
      <w:pPr>
        <w:tabs>
          <w:tab w:val="left" w:pos="6096"/>
        </w:tabs>
        <w:spacing w:after="0" w:line="240" w:lineRule="auto"/>
        <w:ind w:firstLine="5245"/>
        <w:rPr>
          <w:rFonts w:ascii="Times New Roman" w:hAnsi="Times New Roman" w:cs="Times New Roman"/>
          <w:sz w:val="20"/>
          <w:szCs w:val="20"/>
        </w:rPr>
      </w:pPr>
      <w:r>
        <w:rPr>
          <w:rFonts w:ascii="Times New Roman" w:hAnsi="Times New Roman" w:cs="Times New Roman"/>
          <w:sz w:val="20"/>
          <w:szCs w:val="20"/>
        </w:rPr>
        <w:t xml:space="preserve">z dnia 16 </w:t>
      </w:r>
      <w:bookmarkStart w:id="0" w:name="_GoBack"/>
      <w:bookmarkEnd w:id="0"/>
      <w:r w:rsidR="00E3461C">
        <w:rPr>
          <w:rFonts w:ascii="Times New Roman" w:hAnsi="Times New Roman" w:cs="Times New Roman"/>
          <w:sz w:val="20"/>
          <w:szCs w:val="20"/>
        </w:rPr>
        <w:t>grudnia 2020 r.</w:t>
      </w:r>
    </w:p>
    <w:p w:rsidR="00E3461C" w:rsidRDefault="00E3461C" w:rsidP="00E3461C"/>
    <w:p w:rsidR="00E3461C" w:rsidRDefault="00E3461C" w:rsidP="00E3461C">
      <w:pPr>
        <w:spacing w:after="0" w:line="360" w:lineRule="auto"/>
        <w:jc w:val="center"/>
        <w:rPr>
          <w:rFonts w:ascii="Times New Roman" w:hAnsi="Times New Roman"/>
          <w:b/>
          <w:bCs/>
          <w:sz w:val="24"/>
          <w:szCs w:val="24"/>
        </w:rPr>
      </w:pPr>
      <w:r>
        <w:rPr>
          <w:rFonts w:ascii="Times New Roman" w:hAnsi="Times New Roman"/>
          <w:b/>
          <w:bCs/>
          <w:sz w:val="24"/>
          <w:szCs w:val="24"/>
        </w:rPr>
        <w:t xml:space="preserve">Regulamin pracy </w:t>
      </w:r>
    </w:p>
    <w:p w:rsidR="00E3461C" w:rsidRDefault="00E3461C" w:rsidP="00E3461C">
      <w:pPr>
        <w:spacing w:after="0" w:line="360" w:lineRule="auto"/>
        <w:jc w:val="center"/>
        <w:rPr>
          <w:rFonts w:ascii="Times New Roman" w:hAnsi="Times New Roman"/>
          <w:b/>
          <w:bCs/>
          <w:sz w:val="24"/>
          <w:szCs w:val="24"/>
        </w:rPr>
      </w:pPr>
      <w:r>
        <w:rPr>
          <w:rFonts w:ascii="Times New Roman" w:hAnsi="Times New Roman"/>
          <w:b/>
          <w:bCs/>
          <w:sz w:val="24"/>
          <w:szCs w:val="24"/>
        </w:rPr>
        <w:t xml:space="preserve">Senackiej Komisji Arbitrażowej </w:t>
      </w:r>
      <w:r>
        <w:rPr>
          <w:rFonts w:ascii="Times New Roman" w:hAnsi="Times New Roman"/>
          <w:b/>
          <w:bCs/>
          <w:sz w:val="24"/>
          <w:szCs w:val="24"/>
        </w:rPr>
        <w:br/>
        <w:t>Uniwersytetu Medycznego im. Piastów Śląskich we Wrocławiu</w:t>
      </w:r>
    </w:p>
    <w:p w:rsidR="00E3461C" w:rsidRDefault="00E3461C" w:rsidP="00E3461C">
      <w:pPr>
        <w:spacing w:after="0" w:line="360" w:lineRule="auto"/>
        <w:jc w:val="center"/>
        <w:rPr>
          <w:rFonts w:ascii="Times New Roman" w:hAnsi="Times New Roman"/>
          <w:b/>
          <w:bCs/>
          <w:sz w:val="24"/>
          <w:szCs w:val="24"/>
        </w:rPr>
      </w:pPr>
      <w:r>
        <w:rPr>
          <w:rFonts w:ascii="Times New Roman" w:hAnsi="Times New Roman"/>
          <w:b/>
          <w:bCs/>
          <w:sz w:val="24"/>
          <w:szCs w:val="24"/>
        </w:rPr>
        <w:t>na kadencję 2020-2024</w:t>
      </w:r>
    </w:p>
    <w:p w:rsidR="00E3461C" w:rsidRDefault="00E3461C" w:rsidP="00E3461C">
      <w:pPr>
        <w:spacing w:after="0" w:line="360" w:lineRule="auto"/>
        <w:jc w:val="both"/>
        <w:rPr>
          <w:rFonts w:ascii="Times New Roman" w:hAnsi="Times New Roman"/>
          <w:b/>
          <w:bCs/>
          <w:sz w:val="28"/>
          <w:szCs w:val="28"/>
        </w:rPr>
      </w:pPr>
    </w:p>
    <w:p w:rsidR="00E3461C" w:rsidRDefault="00E3461C" w:rsidP="00E3461C">
      <w:pPr>
        <w:spacing w:after="0" w:line="360" w:lineRule="auto"/>
        <w:jc w:val="both"/>
        <w:rPr>
          <w:rFonts w:ascii="Times New Roman" w:hAnsi="Times New Roman"/>
          <w:sz w:val="24"/>
          <w:szCs w:val="24"/>
        </w:rPr>
      </w:pPr>
      <w:r>
        <w:rPr>
          <w:rFonts w:ascii="Times New Roman" w:hAnsi="Times New Roman"/>
          <w:spacing w:val="-4"/>
          <w:sz w:val="24"/>
          <w:szCs w:val="24"/>
        </w:rPr>
        <w:t>Podstawa prawna: § 52 ust. 6 statutu Uniwersytetu Medycznego we Wrocławiu z dnia 9 czerwca 2019 r.</w:t>
      </w:r>
      <w:r>
        <w:rPr>
          <w:rFonts w:ascii="Times New Roman" w:hAnsi="Times New Roman"/>
          <w:sz w:val="24"/>
          <w:szCs w:val="24"/>
        </w:rPr>
        <w:t xml:space="preserve"> (</w:t>
      </w:r>
      <w:proofErr w:type="spellStart"/>
      <w:r>
        <w:rPr>
          <w:rFonts w:ascii="Times New Roman" w:hAnsi="Times New Roman"/>
          <w:sz w:val="24"/>
          <w:szCs w:val="24"/>
        </w:rPr>
        <w:t>t.j</w:t>
      </w:r>
      <w:proofErr w:type="spellEnd"/>
      <w:r>
        <w:rPr>
          <w:rFonts w:ascii="Times New Roman" w:hAnsi="Times New Roman"/>
          <w:sz w:val="24"/>
          <w:szCs w:val="24"/>
        </w:rPr>
        <w:t>. uchwała nr 2090 Senatu z 19.12.2019 r. ze zm.).</w:t>
      </w:r>
    </w:p>
    <w:p w:rsidR="00E3461C" w:rsidRDefault="00E3461C" w:rsidP="00E3461C">
      <w:pPr>
        <w:spacing w:after="0" w:line="360" w:lineRule="auto"/>
        <w:jc w:val="both"/>
        <w:rPr>
          <w:rFonts w:ascii="Times New Roman" w:hAnsi="Times New Roman"/>
          <w:b/>
          <w:bCs/>
          <w:sz w:val="16"/>
          <w:szCs w:val="16"/>
        </w:rPr>
      </w:pPr>
    </w:p>
    <w:p w:rsidR="00E3461C" w:rsidRDefault="00E3461C" w:rsidP="00E3461C">
      <w:pPr>
        <w:spacing w:after="0" w:line="360" w:lineRule="auto"/>
        <w:jc w:val="center"/>
        <w:rPr>
          <w:rFonts w:ascii="Times New Roman" w:hAnsi="Times New Roman"/>
          <w:sz w:val="24"/>
          <w:szCs w:val="24"/>
        </w:rPr>
      </w:pPr>
      <w:r>
        <w:rPr>
          <w:rFonts w:ascii="Times New Roman" w:hAnsi="Times New Roman"/>
          <w:bCs/>
          <w:sz w:val="24"/>
          <w:szCs w:val="24"/>
        </w:rPr>
        <w:t>§ 1</w:t>
      </w:r>
    </w:p>
    <w:p w:rsidR="00E3461C" w:rsidRDefault="00E3461C" w:rsidP="00E3461C">
      <w:pPr>
        <w:pStyle w:val="Akapitzlist"/>
        <w:numPr>
          <w:ilvl w:val="0"/>
          <w:numId w:val="1"/>
        </w:numPr>
        <w:spacing w:after="0" w:line="360" w:lineRule="auto"/>
        <w:ind w:left="426" w:hanging="426"/>
        <w:jc w:val="both"/>
        <w:rPr>
          <w:rFonts w:ascii="Times New Roman" w:hAnsi="Times New Roman"/>
          <w:sz w:val="24"/>
          <w:szCs w:val="24"/>
        </w:rPr>
      </w:pPr>
      <w:r>
        <w:rPr>
          <w:rFonts w:ascii="Times New Roman" w:hAnsi="Times New Roman"/>
          <w:sz w:val="24"/>
          <w:szCs w:val="24"/>
        </w:rPr>
        <w:t>Zadaniami Senackiej Komisji Arbitrażowej, zwanej dalej „Komisją”, są próby polubownego rozwiązywania konfliktów powstałych między członkami społeczności akademickiej.</w:t>
      </w:r>
    </w:p>
    <w:p w:rsidR="00E3461C" w:rsidRDefault="00E3461C" w:rsidP="00E3461C">
      <w:pPr>
        <w:pStyle w:val="Akapitzlist"/>
        <w:numPr>
          <w:ilvl w:val="0"/>
          <w:numId w:val="1"/>
        </w:numPr>
        <w:spacing w:after="0" w:line="360" w:lineRule="auto"/>
        <w:ind w:left="426" w:hanging="426"/>
        <w:jc w:val="both"/>
        <w:rPr>
          <w:rFonts w:ascii="Times New Roman" w:hAnsi="Times New Roman"/>
          <w:sz w:val="24"/>
          <w:szCs w:val="24"/>
        </w:rPr>
      </w:pPr>
      <w:r>
        <w:rPr>
          <w:rFonts w:ascii="Times New Roman" w:hAnsi="Times New Roman"/>
          <w:sz w:val="24"/>
          <w:szCs w:val="24"/>
        </w:rPr>
        <w:t>W posiedzeniach Komisji mogą uczestniczyć, z głosem doradczym, po jednym przedstawicielu związków zawodowych działających w Uczelni.</w:t>
      </w:r>
    </w:p>
    <w:p w:rsidR="00E3461C" w:rsidRDefault="00E3461C" w:rsidP="00E3461C">
      <w:pPr>
        <w:spacing w:after="0" w:line="360" w:lineRule="auto"/>
        <w:jc w:val="center"/>
        <w:rPr>
          <w:rFonts w:ascii="Times New Roman" w:hAnsi="Times New Roman"/>
          <w:bCs/>
          <w:sz w:val="24"/>
          <w:szCs w:val="24"/>
        </w:rPr>
      </w:pPr>
      <w:r>
        <w:rPr>
          <w:rFonts w:ascii="Times New Roman" w:hAnsi="Times New Roman"/>
          <w:bCs/>
          <w:sz w:val="24"/>
          <w:szCs w:val="24"/>
        </w:rPr>
        <w:t>§ 2</w:t>
      </w:r>
    </w:p>
    <w:p w:rsidR="00E3461C" w:rsidRDefault="00E3461C" w:rsidP="00E3461C">
      <w:pPr>
        <w:pStyle w:val="Akapitzlist"/>
        <w:numPr>
          <w:ilvl w:val="0"/>
          <w:numId w:val="8"/>
        </w:numPr>
        <w:spacing w:after="0" w:line="360" w:lineRule="auto"/>
        <w:ind w:left="426" w:hanging="426"/>
        <w:jc w:val="both"/>
        <w:rPr>
          <w:rFonts w:ascii="Times New Roman" w:hAnsi="Times New Roman"/>
          <w:sz w:val="24"/>
          <w:szCs w:val="24"/>
        </w:rPr>
      </w:pPr>
      <w:r w:rsidRPr="00AB4050">
        <w:rPr>
          <w:rFonts w:ascii="Times New Roman" w:hAnsi="Times New Roman"/>
          <w:spacing w:val="-4"/>
          <w:sz w:val="24"/>
          <w:szCs w:val="24"/>
        </w:rPr>
        <w:t xml:space="preserve">Komisja podejmuje decyzje </w:t>
      </w:r>
      <w:r w:rsidRPr="00AB4050">
        <w:rPr>
          <w:rFonts w:ascii="Times New Roman" w:hAnsi="Times New Roman"/>
          <w:sz w:val="24"/>
          <w:szCs w:val="24"/>
        </w:rPr>
        <w:t>w głosowaniu jawnym,</w:t>
      </w:r>
      <w:r w:rsidRPr="00AB4050">
        <w:rPr>
          <w:rFonts w:ascii="Times New Roman" w:hAnsi="Times New Roman"/>
          <w:spacing w:val="-4"/>
          <w:sz w:val="24"/>
          <w:szCs w:val="24"/>
        </w:rPr>
        <w:t xml:space="preserve"> bezwzględną większością głosów. Wniosek jest przyjęty, gdy uzyska więcej niż połowę ważnie oddanych głosów, przy obecności co najmniej połowy składu Komisji</w:t>
      </w:r>
      <w:r w:rsidRPr="00AB4050">
        <w:rPr>
          <w:rFonts w:ascii="Times New Roman" w:hAnsi="Times New Roman"/>
          <w:sz w:val="24"/>
          <w:szCs w:val="24"/>
        </w:rPr>
        <w:t>.</w:t>
      </w:r>
    </w:p>
    <w:p w:rsidR="00E3461C" w:rsidRPr="00AB4050" w:rsidRDefault="00E3461C" w:rsidP="00E3461C">
      <w:pPr>
        <w:pStyle w:val="Akapitzlist"/>
        <w:numPr>
          <w:ilvl w:val="0"/>
          <w:numId w:val="8"/>
        </w:numPr>
        <w:spacing w:after="0" w:line="360" w:lineRule="auto"/>
        <w:ind w:left="426" w:hanging="426"/>
        <w:jc w:val="both"/>
        <w:rPr>
          <w:rFonts w:ascii="Times New Roman" w:hAnsi="Times New Roman"/>
          <w:sz w:val="24"/>
          <w:szCs w:val="24"/>
        </w:rPr>
      </w:pPr>
      <w:r w:rsidRPr="00AB4050">
        <w:rPr>
          <w:rFonts w:ascii="Times New Roman" w:hAnsi="Times New Roman"/>
          <w:spacing w:val="-4"/>
          <w:sz w:val="24"/>
          <w:szCs w:val="24"/>
        </w:rPr>
        <w:t>Komisja podejmuje decyzje</w:t>
      </w:r>
      <w:r w:rsidRPr="00AB4050">
        <w:rPr>
          <w:rFonts w:ascii="Times New Roman" w:hAnsi="Times New Roman"/>
          <w:sz w:val="24"/>
          <w:szCs w:val="24"/>
        </w:rPr>
        <w:t xml:space="preserve"> w głosowaniu tajnym w sprawach personalnych oraz w innych sprawach na wniosek członka Komisji, poparty przez członków w liczbie 1/3 składu Komisji.</w:t>
      </w:r>
    </w:p>
    <w:p w:rsidR="00E3461C" w:rsidRDefault="00E3461C" w:rsidP="00E3461C">
      <w:pPr>
        <w:spacing w:after="0" w:line="360" w:lineRule="auto"/>
        <w:jc w:val="center"/>
        <w:rPr>
          <w:rFonts w:ascii="Times New Roman" w:hAnsi="Times New Roman"/>
          <w:bCs/>
          <w:sz w:val="24"/>
          <w:szCs w:val="24"/>
        </w:rPr>
      </w:pPr>
      <w:r>
        <w:rPr>
          <w:rFonts w:ascii="Times New Roman" w:hAnsi="Times New Roman"/>
          <w:bCs/>
          <w:sz w:val="24"/>
          <w:szCs w:val="24"/>
        </w:rPr>
        <w:t>§ 3</w:t>
      </w:r>
    </w:p>
    <w:p w:rsidR="00E3461C" w:rsidRDefault="00E3461C" w:rsidP="00E3461C">
      <w:pPr>
        <w:spacing w:after="0" w:line="360" w:lineRule="auto"/>
        <w:jc w:val="both"/>
        <w:rPr>
          <w:rFonts w:ascii="Times New Roman" w:hAnsi="Times New Roman"/>
          <w:sz w:val="24"/>
          <w:szCs w:val="24"/>
        </w:rPr>
      </w:pPr>
      <w:r>
        <w:rPr>
          <w:rFonts w:ascii="Times New Roman" w:hAnsi="Times New Roman"/>
          <w:sz w:val="24"/>
          <w:szCs w:val="24"/>
        </w:rPr>
        <w:t>Członkowie społeczności akademickiej składają pisemny wniosek o mediację za pośrednictwem Rektora, a w przypadku, gdy stroną konfliktu jest Rektor, za pośrednictwem Prorektora ds. Nauki, którzy odpowiednio niezwłocznie kierują wniosek do przewodniczącego Komisji.</w:t>
      </w:r>
    </w:p>
    <w:p w:rsidR="00E3461C" w:rsidRDefault="00E3461C" w:rsidP="00E3461C">
      <w:pPr>
        <w:spacing w:after="0" w:line="360" w:lineRule="auto"/>
        <w:jc w:val="center"/>
        <w:rPr>
          <w:rFonts w:ascii="Times New Roman" w:hAnsi="Times New Roman"/>
          <w:sz w:val="24"/>
          <w:szCs w:val="24"/>
        </w:rPr>
      </w:pPr>
      <w:r>
        <w:rPr>
          <w:rFonts w:ascii="Times New Roman" w:hAnsi="Times New Roman"/>
          <w:bCs/>
          <w:sz w:val="24"/>
          <w:szCs w:val="24"/>
        </w:rPr>
        <w:t>§ 4</w:t>
      </w:r>
    </w:p>
    <w:p w:rsidR="00E3461C" w:rsidRDefault="00E3461C" w:rsidP="00E3461C">
      <w:pPr>
        <w:pStyle w:val="Akapitzlist"/>
        <w:numPr>
          <w:ilvl w:val="0"/>
          <w:numId w:val="9"/>
        </w:numPr>
        <w:spacing w:after="0" w:line="360" w:lineRule="auto"/>
        <w:ind w:left="426" w:hanging="426"/>
        <w:jc w:val="both"/>
        <w:rPr>
          <w:rFonts w:ascii="Times New Roman" w:hAnsi="Times New Roman"/>
          <w:sz w:val="24"/>
          <w:szCs w:val="24"/>
        </w:rPr>
      </w:pPr>
      <w:r w:rsidRPr="005C6640">
        <w:rPr>
          <w:rFonts w:ascii="Times New Roman" w:hAnsi="Times New Roman"/>
          <w:sz w:val="24"/>
          <w:szCs w:val="24"/>
        </w:rPr>
        <w:t>Przewodniczący Komisji wyznacza spośród członków Komisji trzyosobowy Zespół Arbitrażowy, zwany dalej „Zespołem”, dla zbadania danej sprawy oraz wskazuje osobę przewodniczącego Zespołu, którym powinien być nauczyciel akademicki zatrudniony na stanowisku nie niższym niż osoby, będące stronami konfliktu.</w:t>
      </w:r>
    </w:p>
    <w:p w:rsidR="00E3461C" w:rsidRDefault="00E3461C" w:rsidP="00E3461C">
      <w:pPr>
        <w:pStyle w:val="Akapitzlist"/>
        <w:numPr>
          <w:ilvl w:val="0"/>
          <w:numId w:val="9"/>
        </w:numPr>
        <w:spacing w:after="0" w:line="360" w:lineRule="auto"/>
        <w:ind w:left="426" w:hanging="426"/>
        <w:jc w:val="both"/>
        <w:rPr>
          <w:rFonts w:ascii="Times New Roman" w:hAnsi="Times New Roman"/>
          <w:sz w:val="24"/>
          <w:szCs w:val="24"/>
        </w:rPr>
      </w:pPr>
      <w:r w:rsidRPr="005C6640">
        <w:rPr>
          <w:rFonts w:ascii="Times New Roman" w:hAnsi="Times New Roman"/>
          <w:sz w:val="24"/>
          <w:szCs w:val="24"/>
        </w:rPr>
        <w:t>Terminy posiedzenia Komisji lub Zespołu wyznaczają ich przewodniczący.</w:t>
      </w:r>
    </w:p>
    <w:p w:rsidR="00E3461C" w:rsidRPr="005C6640" w:rsidRDefault="00E3461C" w:rsidP="00E3461C">
      <w:pPr>
        <w:pStyle w:val="Akapitzlist"/>
        <w:numPr>
          <w:ilvl w:val="0"/>
          <w:numId w:val="9"/>
        </w:numPr>
        <w:spacing w:after="0" w:line="360" w:lineRule="auto"/>
        <w:ind w:left="426" w:hanging="426"/>
        <w:jc w:val="both"/>
        <w:rPr>
          <w:rFonts w:ascii="Times New Roman" w:hAnsi="Times New Roman"/>
          <w:sz w:val="24"/>
          <w:szCs w:val="24"/>
        </w:rPr>
      </w:pPr>
      <w:r w:rsidRPr="005C6640">
        <w:rPr>
          <w:rFonts w:ascii="Times New Roman" w:hAnsi="Times New Roman"/>
          <w:sz w:val="24"/>
          <w:szCs w:val="24"/>
        </w:rPr>
        <w:t>W celu realizacji przedmiotu działalności, o którym mowa w § 1 pkt 1 Zespół:</w:t>
      </w:r>
    </w:p>
    <w:p w:rsidR="00E3461C" w:rsidRDefault="00E3461C" w:rsidP="00E3461C">
      <w:pPr>
        <w:pStyle w:val="Akapitzlist"/>
        <w:numPr>
          <w:ilvl w:val="0"/>
          <w:numId w:val="2"/>
        </w:numPr>
        <w:spacing w:after="0" w:line="360" w:lineRule="auto"/>
        <w:ind w:left="397" w:firstLine="29"/>
        <w:jc w:val="both"/>
        <w:rPr>
          <w:rFonts w:ascii="Times New Roman" w:hAnsi="Times New Roman"/>
          <w:sz w:val="24"/>
          <w:szCs w:val="24"/>
        </w:rPr>
      </w:pPr>
      <w:r>
        <w:rPr>
          <w:rFonts w:ascii="Times New Roman" w:hAnsi="Times New Roman"/>
          <w:sz w:val="24"/>
          <w:szCs w:val="24"/>
        </w:rPr>
        <w:t>wysłuchuje opinii wszystkich stron konfliktu,</w:t>
      </w:r>
    </w:p>
    <w:p w:rsidR="00E3461C" w:rsidRDefault="00E3461C" w:rsidP="00E3461C">
      <w:pPr>
        <w:pStyle w:val="Akapitzlist"/>
        <w:numPr>
          <w:ilvl w:val="0"/>
          <w:numId w:val="2"/>
        </w:numPr>
        <w:spacing w:after="0" w:line="360" w:lineRule="auto"/>
        <w:ind w:left="397" w:firstLine="29"/>
        <w:jc w:val="both"/>
        <w:rPr>
          <w:rFonts w:ascii="Times New Roman" w:hAnsi="Times New Roman"/>
          <w:sz w:val="24"/>
          <w:szCs w:val="24"/>
        </w:rPr>
      </w:pPr>
      <w:r>
        <w:rPr>
          <w:rFonts w:ascii="Times New Roman" w:hAnsi="Times New Roman"/>
          <w:sz w:val="24"/>
          <w:szCs w:val="24"/>
        </w:rPr>
        <w:lastRenderedPageBreak/>
        <w:t xml:space="preserve">niezwłocznie podejmuje próbę mediacji i doprowadzenia do ugody stron konfliktu. </w:t>
      </w:r>
    </w:p>
    <w:p w:rsidR="00E3461C" w:rsidRPr="00A17138" w:rsidRDefault="00E3461C" w:rsidP="00E3461C">
      <w:pPr>
        <w:pStyle w:val="Akapitzlist"/>
        <w:numPr>
          <w:ilvl w:val="0"/>
          <w:numId w:val="9"/>
        </w:numPr>
        <w:spacing w:after="0" w:line="360" w:lineRule="auto"/>
        <w:ind w:left="426"/>
        <w:jc w:val="both"/>
        <w:rPr>
          <w:rFonts w:ascii="Times New Roman" w:hAnsi="Times New Roman" w:cs="Times New Roman"/>
          <w:sz w:val="24"/>
          <w:szCs w:val="24"/>
        </w:rPr>
      </w:pPr>
      <w:r w:rsidRPr="00A17138">
        <w:rPr>
          <w:rFonts w:ascii="Times New Roman" w:hAnsi="Times New Roman"/>
          <w:spacing w:val="-2"/>
          <w:sz w:val="24"/>
          <w:szCs w:val="24"/>
        </w:rPr>
        <w:t xml:space="preserve">Na pisemny wniosek Zespołu odpowiednia jednostka Uczelni udostępnia Zespołowi dokumenty niezbędne do rozpatrzenia sprawy, jeżeli odrębne przepisy nie zabraniają </w:t>
      </w:r>
      <w:r w:rsidRPr="00A17138">
        <w:rPr>
          <w:rFonts w:ascii="Times New Roman" w:hAnsi="Times New Roman" w:cs="Times New Roman"/>
          <w:spacing w:val="-2"/>
          <w:sz w:val="24"/>
          <w:szCs w:val="24"/>
        </w:rPr>
        <w:t xml:space="preserve">udostępnienia tych dokumentów. </w:t>
      </w:r>
    </w:p>
    <w:p w:rsidR="00E3461C" w:rsidRPr="00A17138" w:rsidRDefault="00E3461C" w:rsidP="00E3461C">
      <w:pPr>
        <w:pStyle w:val="Akapitzlist"/>
        <w:numPr>
          <w:ilvl w:val="0"/>
          <w:numId w:val="9"/>
        </w:numPr>
        <w:spacing w:after="0" w:line="360" w:lineRule="auto"/>
        <w:ind w:left="426"/>
        <w:jc w:val="both"/>
        <w:rPr>
          <w:rFonts w:ascii="Times New Roman" w:hAnsi="Times New Roman" w:cs="Times New Roman"/>
          <w:sz w:val="24"/>
          <w:szCs w:val="24"/>
        </w:rPr>
      </w:pPr>
      <w:r w:rsidRPr="00A17138">
        <w:rPr>
          <w:rFonts w:ascii="Times New Roman" w:hAnsi="Times New Roman" w:cs="Times New Roman"/>
          <w:sz w:val="24"/>
          <w:szCs w:val="24"/>
        </w:rPr>
        <w:t>Wyznaczony do obsługi Komisji pracownik administracji zawiadamia drogą elektroniczną członków Komisji lub Zespołu o terminie, miejscu i przedmiocie posiedzenia, nie później niż na 7 dni przed planowaną datą posiedzenia, a także dostarcza ewentualnie dokumenty niezbędne do rozpatrzenia sprawy.</w:t>
      </w:r>
    </w:p>
    <w:p w:rsidR="00E3461C" w:rsidRDefault="00E3461C" w:rsidP="00E3461C">
      <w:pPr>
        <w:spacing w:after="0" w:line="360" w:lineRule="auto"/>
        <w:jc w:val="center"/>
        <w:rPr>
          <w:rFonts w:ascii="Times New Roman" w:hAnsi="Times New Roman"/>
          <w:sz w:val="24"/>
          <w:szCs w:val="24"/>
        </w:rPr>
      </w:pPr>
      <w:r>
        <w:rPr>
          <w:rFonts w:ascii="Times New Roman" w:hAnsi="Times New Roman"/>
          <w:bCs/>
          <w:sz w:val="24"/>
          <w:szCs w:val="24"/>
        </w:rPr>
        <w:t>§ 5</w:t>
      </w:r>
    </w:p>
    <w:p w:rsidR="00E3461C" w:rsidRDefault="00E3461C" w:rsidP="00E3461C">
      <w:pPr>
        <w:pStyle w:val="Akapitzlist"/>
        <w:numPr>
          <w:ilvl w:val="0"/>
          <w:numId w:val="3"/>
        </w:numPr>
        <w:spacing w:after="0" w:line="360" w:lineRule="auto"/>
        <w:ind w:left="425" w:hanging="425"/>
        <w:jc w:val="both"/>
        <w:rPr>
          <w:rFonts w:ascii="Times New Roman" w:hAnsi="Times New Roman"/>
          <w:spacing w:val="-2"/>
          <w:sz w:val="24"/>
          <w:szCs w:val="24"/>
        </w:rPr>
      </w:pPr>
      <w:r>
        <w:rPr>
          <w:rFonts w:ascii="Times New Roman" w:hAnsi="Times New Roman"/>
          <w:spacing w:val="-2"/>
          <w:sz w:val="24"/>
          <w:szCs w:val="24"/>
        </w:rPr>
        <w:t xml:space="preserve">Członek Zespołu nie może orzekać w sprawach dotyczących członka jego rodziny lub osoby pozostającej z nim w faktycznym pożyciu, a także jeśli zachodzą uzasadnione wątpliwości, co do jego bezstronności. </w:t>
      </w:r>
    </w:p>
    <w:p w:rsidR="00E3461C" w:rsidRDefault="00E3461C" w:rsidP="00E3461C">
      <w:pPr>
        <w:pStyle w:val="Akapitzlist"/>
        <w:numPr>
          <w:ilvl w:val="0"/>
          <w:numId w:val="3"/>
        </w:numPr>
        <w:spacing w:after="0" w:line="360" w:lineRule="auto"/>
        <w:ind w:left="425" w:hanging="425"/>
        <w:jc w:val="both"/>
        <w:rPr>
          <w:rFonts w:ascii="Times New Roman" w:hAnsi="Times New Roman"/>
          <w:sz w:val="24"/>
          <w:szCs w:val="24"/>
        </w:rPr>
      </w:pPr>
      <w:r>
        <w:rPr>
          <w:rFonts w:ascii="Times New Roman" w:hAnsi="Times New Roman"/>
          <w:sz w:val="24"/>
          <w:szCs w:val="24"/>
        </w:rPr>
        <w:t xml:space="preserve">W uzasadnionych przypadkach może nastąpić wyłączenie członka Zespołu, także na pisemny wniosek samego członka lub na pisemny wniosek strony postępowania. </w:t>
      </w:r>
    </w:p>
    <w:p w:rsidR="00E3461C" w:rsidRDefault="00E3461C" w:rsidP="00E3461C">
      <w:pPr>
        <w:pStyle w:val="Akapitzlist"/>
        <w:numPr>
          <w:ilvl w:val="0"/>
          <w:numId w:val="3"/>
        </w:numPr>
        <w:spacing w:after="0" w:line="360" w:lineRule="auto"/>
        <w:ind w:left="425" w:hanging="425"/>
        <w:jc w:val="both"/>
        <w:rPr>
          <w:rFonts w:ascii="Times New Roman" w:hAnsi="Times New Roman"/>
          <w:spacing w:val="-4"/>
          <w:sz w:val="24"/>
          <w:szCs w:val="24"/>
        </w:rPr>
      </w:pPr>
      <w:r>
        <w:rPr>
          <w:rFonts w:ascii="Times New Roman" w:hAnsi="Times New Roman"/>
          <w:spacing w:val="-4"/>
          <w:sz w:val="24"/>
          <w:szCs w:val="24"/>
        </w:rPr>
        <w:t>O wyłączeniu w przypadku o którym mowa w ust. 2 decyduje przewodniczący Komisji.</w:t>
      </w:r>
    </w:p>
    <w:p w:rsidR="00E3461C" w:rsidRDefault="00E3461C" w:rsidP="00E3461C">
      <w:pPr>
        <w:spacing w:after="0" w:line="360" w:lineRule="auto"/>
        <w:jc w:val="center"/>
        <w:rPr>
          <w:rFonts w:ascii="Times New Roman" w:hAnsi="Times New Roman"/>
          <w:sz w:val="24"/>
          <w:szCs w:val="24"/>
        </w:rPr>
      </w:pPr>
      <w:r>
        <w:rPr>
          <w:rFonts w:ascii="Times New Roman" w:hAnsi="Times New Roman"/>
          <w:bCs/>
          <w:sz w:val="24"/>
          <w:szCs w:val="24"/>
        </w:rPr>
        <w:t>§ 6</w:t>
      </w:r>
    </w:p>
    <w:p w:rsidR="00E3461C" w:rsidRDefault="00E3461C" w:rsidP="00E3461C">
      <w:pPr>
        <w:pStyle w:val="Akapitzlist"/>
        <w:numPr>
          <w:ilvl w:val="0"/>
          <w:numId w:val="10"/>
        </w:numPr>
        <w:spacing w:after="0" w:line="360" w:lineRule="auto"/>
        <w:ind w:left="426"/>
        <w:jc w:val="both"/>
        <w:rPr>
          <w:rFonts w:ascii="Times New Roman" w:hAnsi="Times New Roman"/>
          <w:sz w:val="24"/>
          <w:szCs w:val="24"/>
        </w:rPr>
      </w:pPr>
      <w:r w:rsidRPr="00B729E9">
        <w:rPr>
          <w:rFonts w:ascii="Times New Roman" w:hAnsi="Times New Roman"/>
          <w:sz w:val="24"/>
          <w:szCs w:val="24"/>
        </w:rPr>
        <w:t xml:space="preserve">Od decyzji o wyłączeniu członka z udziału w Zespole lub odmowie jego wyłączenia, stronom postępowania przysługuje odwołanie do Senackiej Komisji Arbitrażowej w terminie 7 dni od daty otrzymania ww. decyzji. </w:t>
      </w:r>
    </w:p>
    <w:p w:rsidR="00E3461C" w:rsidRPr="00B729E9" w:rsidRDefault="00E3461C" w:rsidP="00E3461C">
      <w:pPr>
        <w:pStyle w:val="Akapitzlist"/>
        <w:numPr>
          <w:ilvl w:val="0"/>
          <w:numId w:val="10"/>
        </w:numPr>
        <w:spacing w:after="0" w:line="360" w:lineRule="auto"/>
        <w:ind w:left="426"/>
        <w:jc w:val="both"/>
        <w:rPr>
          <w:rFonts w:ascii="Times New Roman" w:hAnsi="Times New Roman"/>
          <w:sz w:val="24"/>
          <w:szCs w:val="24"/>
        </w:rPr>
      </w:pPr>
      <w:r w:rsidRPr="00B729E9">
        <w:rPr>
          <w:rFonts w:ascii="Times New Roman" w:hAnsi="Times New Roman"/>
          <w:sz w:val="24"/>
          <w:szCs w:val="24"/>
        </w:rPr>
        <w:t>Odwołanie, o którym mowa w ust. 1, rozpoznaje Komisja, bez udziału przewodniczącego, który wydał zaskarżoną decyzję.</w:t>
      </w:r>
    </w:p>
    <w:p w:rsidR="00E3461C" w:rsidRDefault="00E3461C" w:rsidP="00E3461C">
      <w:pPr>
        <w:spacing w:after="0" w:line="360" w:lineRule="auto"/>
        <w:jc w:val="center"/>
        <w:rPr>
          <w:rFonts w:ascii="Times New Roman" w:hAnsi="Times New Roman"/>
          <w:sz w:val="24"/>
          <w:szCs w:val="24"/>
        </w:rPr>
      </w:pPr>
      <w:r>
        <w:rPr>
          <w:rFonts w:ascii="Times New Roman" w:hAnsi="Times New Roman"/>
          <w:bCs/>
          <w:sz w:val="24"/>
          <w:szCs w:val="24"/>
        </w:rPr>
        <w:t>§ 7</w:t>
      </w:r>
    </w:p>
    <w:p w:rsidR="00E3461C" w:rsidRDefault="00E3461C" w:rsidP="00E3461C">
      <w:pPr>
        <w:pStyle w:val="Akapitzlist"/>
        <w:numPr>
          <w:ilvl w:val="0"/>
          <w:numId w:val="4"/>
        </w:numPr>
        <w:spacing w:after="0" w:line="360" w:lineRule="auto"/>
        <w:ind w:left="426" w:hanging="426"/>
        <w:jc w:val="both"/>
        <w:rPr>
          <w:rFonts w:ascii="Times New Roman" w:hAnsi="Times New Roman"/>
          <w:spacing w:val="-4"/>
          <w:sz w:val="24"/>
          <w:szCs w:val="24"/>
        </w:rPr>
      </w:pPr>
      <w:r>
        <w:rPr>
          <w:rFonts w:ascii="Times New Roman" w:hAnsi="Times New Roman"/>
          <w:spacing w:val="-4"/>
          <w:sz w:val="24"/>
          <w:szCs w:val="24"/>
        </w:rPr>
        <w:t>Zespół, po wysłuchaniu stron konfliktu i ewentualnym zapoznaniu się z dokumentami, przygotowuje sprawozdanie i wnioski z przeprowadzonego postępowania, proponowaną treść ugody, jeśli okoliczności sprawy umożliwiają jej zawarcie, a następnie:</w:t>
      </w:r>
    </w:p>
    <w:p w:rsidR="00E3461C" w:rsidRDefault="00E3461C" w:rsidP="00E3461C">
      <w:pPr>
        <w:pStyle w:val="Akapitzlist"/>
        <w:numPr>
          <w:ilvl w:val="1"/>
          <w:numId w:val="4"/>
        </w:numPr>
        <w:spacing w:after="0" w:line="360" w:lineRule="auto"/>
        <w:ind w:left="851" w:hanging="425"/>
        <w:jc w:val="both"/>
        <w:rPr>
          <w:rFonts w:ascii="Times New Roman" w:hAnsi="Times New Roman"/>
          <w:spacing w:val="-4"/>
          <w:sz w:val="24"/>
          <w:szCs w:val="24"/>
        </w:rPr>
      </w:pPr>
      <w:r>
        <w:rPr>
          <w:rFonts w:ascii="Times New Roman" w:hAnsi="Times New Roman"/>
          <w:sz w:val="24"/>
          <w:szCs w:val="24"/>
        </w:rPr>
        <w:t>w przypadku zawarcia ugody - kończy pracę przekazując odpowiednio Rektorowi lub Prorektorowi ds. Nauki dokumenty, sprawozdanie i treść podpisanej ugody;</w:t>
      </w:r>
    </w:p>
    <w:p w:rsidR="00E3461C" w:rsidRDefault="00E3461C" w:rsidP="00E3461C">
      <w:pPr>
        <w:pStyle w:val="Akapitzlist"/>
        <w:numPr>
          <w:ilvl w:val="1"/>
          <w:numId w:val="4"/>
        </w:numPr>
        <w:spacing w:after="0" w:line="360" w:lineRule="auto"/>
        <w:ind w:left="851" w:hanging="425"/>
        <w:jc w:val="both"/>
        <w:rPr>
          <w:rFonts w:ascii="Times New Roman" w:hAnsi="Times New Roman"/>
          <w:spacing w:val="-2"/>
          <w:sz w:val="24"/>
          <w:szCs w:val="24"/>
        </w:rPr>
      </w:pPr>
      <w:r>
        <w:rPr>
          <w:rFonts w:ascii="Times New Roman" w:hAnsi="Times New Roman"/>
          <w:spacing w:val="-4"/>
          <w:sz w:val="24"/>
          <w:szCs w:val="24"/>
        </w:rPr>
        <w:t xml:space="preserve">w przypadku </w:t>
      </w:r>
      <w:proofErr w:type="spellStart"/>
      <w:r>
        <w:rPr>
          <w:rFonts w:ascii="Times New Roman" w:hAnsi="Times New Roman"/>
          <w:spacing w:val="-4"/>
          <w:sz w:val="24"/>
          <w:szCs w:val="24"/>
        </w:rPr>
        <w:t>niezawarcia</w:t>
      </w:r>
      <w:proofErr w:type="spellEnd"/>
      <w:r>
        <w:rPr>
          <w:rFonts w:ascii="Times New Roman" w:hAnsi="Times New Roman"/>
          <w:spacing w:val="-4"/>
          <w:sz w:val="24"/>
          <w:szCs w:val="24"/>
        </w:rPr>
        <w:t xml:space="preserve"> ugody - przekazuje dokumenty, sprawozdanie z posiedzeń, wraz z </w:t>
      </w:r>
      <w:r>
        <w:rPr>
          <w:rFonts w:ascii="Times New Roman" w:hAnsi="Times New Roman"/>
          <w:spacing w:val="2"/>
          <w:sz w:val="24"/>
          <w:szCs w:val="24"/>
        </w:rPr>
        <w:t>protokołami i wnioskami o ewentualne przeprowadzenie postępowania wyjaśniającego o charakterze</w:t>
      </w:r>
      <w:r>
        <w:rPr>
          <w:rFonts w:ascii="Times New Roman" w:hAnsi="Times New Roman"/>
          <w:spacing w:val="-2"/>
          <w:sz w:val="24"/>
          <w:szCs w:val="24"/>
        </w:rPr>
        <w:t xml:space="preserve"> dyscyplinarnym lub zmian organizacyjnych odpowiednio Rektorowi lub Prorektorowi ds. Nauki, którzy wydają decyzję kończącą postępowanie w sprawie.</w:t>
      </w:r>
    </w:p>
    <w:p w:rsidR="00E3461C" w:rsidRDefault="00E3461C" w:rsidP="00E3461C">
      <w:pPr>
        <w:pStyle w:val="Akapitzlist"/>
        <w:numPr>
          <w:ilvl w:val="0"/>
          <w:numId w:val="4"/>
        </w:numPr>
        <w:spacing w:after="0" w:line="360" w:lineRule="auto"/>
        <w:ind w:left="426"/>
        <w:jc w:val="both"/>
        <w:rPr>
          <w:rFonts w:ascii="Times New Roman" w:hAnsi="Times New Roman"/>
          <w:spacing w:val="-4"/>
          <w:sz w:val="24"/>
          <w:szCs w:val="24"/>
        </w:rPr>
      </w:pPr>
      <w:r>
        <w:rPr>
          <w:rFonts w:ascii="Times New Roman" w:hAnsi="Times New Roman"/>
          <w:spacing w:val="-4"/>
          <w:sz w:val="24"/>
          <w:szCs w:val="24"/>
        </w:rPr>
        <w:t>Po zakończeniu czynności w danej sprawie Zespół informuje Przewodniczącego Komisji o wyniku postępowania.</w:t>
      </w:r>
    </w:p>
    <w:p w:rsidR="00E3461C" w:rsidRDefault="00E3461C" w:rsidP="00E3461C">
      <w:pPr>
        <w:pStyle w:val="Akapitzlist"/>
        <w:numPr>
          <w:ilvl w:val="0"/>
          <w:numId w:val="4"/>
        </w:numPr>
        <w:spacing w:after="0" w:line="360" w:lineRule="auto"/>
        <w:ind w:left="426"/>
        <w:jc w:val="both"/>
        <w:rPr>
          <w:rFonts w:ascii="Times New Roman" w:hAnsi="Times New Roman"/>
          <w:spacing w:val="-4"/>
          <w:sz w:val="24"/>
          <w:szCs w:val="24"/>
        </w:rPr>
      </w:pPr>
      <w:r>
        <w:rPr>
          <w:rFonts w:ascii="Times New Roman" w:hAnsi="Times New Roman"/>
          <w:sz w:val="24"/>
          <w:szCs w:val="24"/>
        </w:rPr>
        <w:lastRenderedPageBreak/>
        <w:t>W przypadku, o którym mowa w ust. 1 pkt 2 decyzja odpowiednio Rektora lub Prorektora ds. Nauki jest ostateczna.</w:t>
      </w:r>
    </w:p>
    <w:p w:rsidR="00E3461C" w:rsidRDefault="00E3461C" w:rsidP="00E3461C">
      <w:pPr>
        <w:spacing w:after="0" w:line="360" w:lineRule="auto"/>
        <w:jc w:val="center"/>
        <w:rPr>
          <w:rFonts w:ascii="Times New Roman" w:hAnsi="Times New Roman"/>
          <w:sz w:val="24"/>
          <w:szCs w:val="24"/>
        </w:rPr>
      </w:pPr>
      <w:r>
        <w:rPr>
          <w:rFonts w:ascii="Times New Roman" w:hAnsi="Times New Roman"/>
          <w:bCs/>
          <w:sz w:val="24"/>
          <w:szCs w:val="24"/>
        </w:rPr>
        <w:t>§ 8</w:t>
      </w:r>
    </w:p>
    <w:p w:rsidR="00E3461C" w:rsidRDefault="00E3461C" w:rsidP="00E3461C">
      <w:pPr>
        <w:spacing w:after="0" w:line="360" w:lineRule="auto"/>
        <w:jc w:val="both"/>
        <w:rPr>
          <w:rFonts w:ascii="Times New Roman" w:hAnsi="Times New Roman"/>
          <w:sz w:val="24"/>
          <w:szCs w:val="24"/>
        </w:rPr>
      </w:pPr>
      <w:r>
        <w:rPr>
          <w:rFonts w:ascii="Times New Roman" w:hAnsi="Times New Roman"/>
          <w:sz w:val="24"/>
          <w:szCs w:val="24"/>
        </w:rPr>
        <w:t>Z każdego posiedzenia Komisji oraz Zespołu, pracownik administracji obsługujący komisję lub posiedzenie zespołu sporządza protokół. Przebieg posiedzenia może być zapisywany na nośniku elektronicznym (zapis audio).</w:t>
      </w:r>
    </w:p>
    <w:p w:rsidR="00E3461C" w:rsidRDefault="00E3461C" w:rsidP="00E3461C">
      <w:pPr>
        <w:spacing w:after="0" w:line="360" w:lineRule="auto"/>
        <w:jc w:val="center"/>
        <w:rPr>
          <w:rFonts w:ascii="Times New Roman" w:hAnsi="Times New Roman"/>
          <w:sz w:val="24"/>
          <w:szCs w:val="24"/>
        </w:rPr>
      </w:pPr>
      <w:r>
        <w:rPr>
          <w:rFonts w:ascii="Times New Roman" w:hAnsi="Times New Roman"/>
          <w:bCs/>
          <w:sz w:val="24"/>
          <w:szCs w:val="24"/>
        </w:rPr>
        <w:t>§ 9</w:t>
      </w:r>
    </w:p>
    <w:p w:rsidR="00E3461C" w:rsidRDefault="00E3461C" w:rsidP="00E3461C">
      <w:pPr>
        <w:pStyle w:val="Akapitzlist"/>
        <w:numPr>
          <w:ilvl w:val="0"/>
          <w:numId w:val="5"/>
        </w:numPr>
        <w:spacing w:after="0" w:line="360" w:lineRule="auto"/>
        <w:ind w:left="426" w:hanging="426"/>
        <w:rPr>
          <w:rFonts w:ascii="Times New Roman" w:hAnsi="Times New Roman"/>
          <w:sz w:val="24"/>
          <w:szCs w:val="24"/>
        </w:rPr>
      </w:pPr>
      <w:r>
        <w:rPr>
          <w:rFonts w:ascii="Times New Roman" w:hAnsi="Times New Roman"/>
          <w:sz w:val="24"/>
          <w:szCs w:val="24"/>
        </w:rPr>
        <w:t>Protokół z posiedzenia Komisji lub Zespołu powinien zawierać następujące elementy:</w:t>
      </w:r>
    </w:p>
    <w:p w:rsidR="00E3461C" w:rsidRDefault="00E3461C" w:rsidP="00E3461C">
      <w:pPr>
        <w:pStyle w:val="Akapitzlist"/>
        <w:numPr>
          <w:ilvl w:val="0"/>
          <w:numId w:val="6"/>
        </w:numPr>
        <w:spacing w:after="0" w:line="360" w:lineRule="auto"/>
        <w:ind w:left="851" w:hanging="425"/>
        <w:rPr>
          <w:rFonts w:ascii="Times New Roman" w:hAnsi="Times New Roman"/>
          <w:sz w:val="24"/>
          <w:szCs w:val="24"/>
        </w:rPr>
      </w:pPr>
      <w:r>
        <w:rPr>
          <w:rFonts w:ascii="Times New Roman" w:hAnsi="Times New Roman"/>
          <w:sz w:val="24"/>
          <w:szCs w:val="24"/>
        </w:rPr>
        <w:t>nazwę Komisji i odpowiednio skład Zespołu,</w:t>
      </w:r>
    </w:p>
    <w:p w:rsidR="00E3461C" w:rsidRDefault="00E3461C" w:rsidP="00E3461C">
      <w:pPr>
        <w:pStyle w:val="Akapitzlist"/>
        <w:numPr>
          <w:ilvl w:val="0"/>
          <w:numId w:val="6"/>
        </w:numPr>
        <w:spacing w:after="0" w:line="360" w:lineRule="auto"/>
        <w:ind w:left="851" w:hanging="425"/>
        <w:rPr>
          <w:rFonts w:ascii="Times New Roman" w:hAnsi="Times New Roman"/>
          <w:sz w:val="24"/>
          <w:szCs w:val="24"/>
        </w:rPr>
      </w:pPr>
      <w:r>
        <w:rPr>
          <w:rFonts w:ascii="Times New Roman" w:hAnsi="Times New Roman"/>
          <w:sz w:val="24"/>
          <w:szCs w:val="24"/>
        </w:rPr>
        <w:t>datę posiedzenia Komisji lub Zespołu,</w:t>
      </w:r>
    </w:p>
    <w:p w:rsidR="00E3461C" w:rsidRDefault="00E3461C" w:rsidP="00E3461C">
      <w:pPr>
        <w:pStyle w:val="Akapitzlist"/>
        <w:numPr>
          <w:ilvl w:val="0"/>
          <w:numId w:val="6"/>
        </w:numPr>
        <w:spacing w:after="0" w:line="360" w:lineRule="auto"/>
        <w:ind w:left="851" w:hanging="425"/>
        <w:rPr>
          <w:rFonts w:ascii="Times New Roman" w:hAnsi="Times New Roman"/>
          <w:sz w:val="24"/>
          <w:szCs w:val="24"/>
        </w:rPr>
      </w:pPr>
      <w:r>
        <w:rPr>
          <w:rFonts w:ascii="Times New Roman" w:hAnsi="Times New Roman"/>
          <w:sz w:val="24"/>
          <w:szCs w:val="24"/>
        </w:rPr>
        <w:t>przebieg posiedzenia Komisji lub Zespołu,</w:t>
      </w:r>
    </w:p>
    <w:p w:rsidR="00E3461C" w:rsidRDefault="00E3461C" w:rsidP="00E3461C">
      <w:pPr>
        <w:pStyle w:val="Akapitzlist"/>
        <w:numPr>
          <w:ilvl w:val="0"/>
          <w:numId w:val="6"/>
        </w:numPr>
        <w:spacing w:after="0" w:line="360" w:lineRule="auto"/>
        <w:ind w:left="851" w:hanging="425"/>
        <w:rPr>
          <w:rFonts w:ascii="Times New Roman" w:hAnsi="Times New Roman"/>
          <w:sz w:val="24"/>
          <w:szCs w:val="24"/>
        </w:rPr>
      </w:pPr>
      <w:r>
        <w:rPr>
          <w:rFonts w:ascii="Times New Roman" w:hAnsi="Times New Roman"/>
          <w:sz w:val="24"/>
          <w:szCs w:val="24"/>
        </w:rPr>
        <w:t>podjęte uchwały,</w:t>
      </w:r>
    </w:p>
    <w:p w:rsidR="00E3461C" w:rsidRDefault="00E3461C" w:rsidP="00E3461C">
      <w:pPr>
        <w:pStyle w:val="Akapitzlist"/>
        <w:numPr>
          <w:ilvl w:val="0"/>
          <w:numId w:val="6"/>
        </w:numPr>
        <w:spacing w:after="0" w:line="360" w:lineRule="auto"/>
        <w:ind w:left="851" w:hanging="425"/>
        <w:rPr>
          <w:rFonts w:ascii="Times New Roman" w:hAnsi="Times New Roman"/>
          <w:spacing w:val="-2"/>
          <w:sz w:val="24"/>
          <w:szCs w:val="24"/>
        </w:rPr>
      </w:pPr>
      <w:r>
        <w:rPr>
          <w:rFonts w:ascii="Times New Roman" w:hAnsi="Times New Roman"/>
          <w:spacing w:val="-2"/>
          <w:sz w:val="24"/>
          <w:szCs w:val="24"/>
        </w:rPr>
        <w:t>do protokołu winny być załączone wszystkie dokumenty i materiały omawiane na posiedzeniu Komisji lub Zespołu, zapis audio jeżeli przebieg posiedzenia był nagrywany.</w:t>
      </w:r>
    </w:p>
    <w:p w:rsidR="00E3461C" w:rsidRDefault="00E3461C" w:rsidP="00E3461C">
      <w:pPr>
        <w:pStyle w:val="Akapitzlist"/>
        <w:numPr>
          <w:ilvl w:val="0"/>
          <w:numId w:val="5"/>
        </w:numPr>
        <w:spacing w:after="0" w:line="360" w:lineRule="auto"/>
        <w:ind w:left="426" w:hanging="426"/>
        <w:jc w:val="both"/>
        <w:rPr>
          <w:rFonts w:ascii="Times New Roman" w:hAnsi="Times New Roman"/>
          <w:sz w:val="24"/>
          <w:szCs w:val="24"/>
        </w:rPr>
      </w:pPr>
      <w:r>
        <w:rPr>
          <w:rFonts w:ascii="Times New Roman" w:hAnsi="Times New Roman"/>
          <w:sz w:val="24"/>
          <w:szCs w:val="24"/>
        </w:rPr>
        <w:t>Lista obecności na posiedzeniu stanowi załącznik do protokołu.</w:t>
      </w:r>
    </w:p>
    <w:p w:rsidR="00E3461C" w:rsidRDefault="00E3461C" w:rsidP="00E3461C">
      <w:pPr>
        <w:pStyle w:val="Akapitzlist"/>
        <w:spacing w:after="0" w:line="360" w:lineRule="auto"/>
        <w:ind w:left="0"/>
        <w:jc w:val="center"/>
        <w:rPr>
          <w:rFonts w:ascii="Times New Roman" w:hAnsi="Times New Roman"/>
          <w:sz w:val="24"/>
          <w:szCs w:val="24"/>
        </w:rPr>
      </w:pPr>
      <w:r>
        <w:rPr>
          <w:rFonts w:ascii="Times New Roman" w:hAnsi="Times New Roman"/>
          <w:bCs/>
          <w:sz w:val="24"/>
          <w:szCs w:val="24"/>
        </w:rPr>
        <w:t>§ 10</w:t>
      </w:r>
    </w:p>
    <w:p w:rsidR="00E3461C" w:rsidRDefault="00E3461C" w:rsidP="00E3461C">
      <w:pPr>
        <w:pStyle w:val="Akapitzlist"/>
        <w:numPr>
          <w:ilvl w:val="0"/>
          <w:numId w:val="7"/>
        </w:numPr>
        <w:spacing w:after="0" w:line="360" w:lineRule="auto"/>
        <w:ind w:left="426" w:hanging="426"/>
        <w:jc w:val="both"/>
        <w:rPr>
          <w:rFonts w:ascii="Times New Roman" w:hAnsi="Times New Roman"/>
          <w:sz w:val="24"/>
          <w:szCs w:val="24"/>
        </w:rPr>
      </w:pPr>
      <w:r>
        <w:rPr>
          <w:rFonts w:ascii="Times New Roman" w:hAnsi="Times New Roman"/>
          <w:sz w:val="24"/>
          <w:szCs w:val="24"/>
        </w:rPr>
        <w:t>Protokół z posiedzenia Komisji podpisuje przewodniczący Komisji, a w razie jego nieobecności jego zastępca.</w:t>
      </w:r>
    </w:p>
    <w:p w:rsidR="00E3461C" w:rsidRDefault="00E3461C" w:rsidP="00E3461C">
      <w:pPr>
        <w:pStyle w:val="Akapitzlist"/>
        <w:numPr>
          <w:ilvl w:val="0"/>
          <w:numId w:val="7"/>
        </w:numPr>
        <w:spacing w:after="0" w:line="360" w:lineRule="auto"/>
        <w:ind w:left="426" w:hanging="426"/>
        <w:jc w:val="both"/>
        <w:rPr>
          <w:rFonts w:ascii="Times New Roman" w:hAnsi="Times New Roman"/>
          <w:sz w:val="24"/>
          <w:szCs w:val="24"/>
        </w:rPr>
      </w:pPr>
      <w:r>
        <w:rPr>
          <w:rFonts w:ascii="Times New Roman" w:hAnsi="Times New Roman"/>
          <w:sz w:val="24"/>
          <w:szCs w:val="24"/>
        </w:rPr>
        <w:t xml:space="preserve">Protokół z posiedzenia Zespołu podpisują wszyscy jego członkowie.  </w:t>
      </w:r>
    </w:p>
    <w:p w:rsidR="00E3461C" w:rsidRDefault="00E3461C" w:rsidP="00E3461C">
      <w:pPr>
        <w:pStyle w:val="Akapitzlist"/>
        <w:numPr>
          <w:ilvl w:val="0"/>
          <w:numId w:val="7"/>
        </w:numPr>
        <w:spacing w:after="0" w:line="360" w:lineRule="auto"/>
        <w:ind w:left="426" w:hanging="426"/>
        <w:jc w:val="both"/>
        <w:rPr>
          <w:rFonts w:ascii="Times New Roman" w:hAnsi="Times New Roman"/>
          <w:sz w:val="24"/>
          <w:szCs w:val="24"/>
        </w:rPr>
      </w:pPr>
      <w:r>
        <w:rPr>
          <w:rFonts w:ascii="Times New Roman" w:hAnsi="Times New Roman"/>
          <w:sz w:val="24"/>
          <w:szCs w:val="24"/>
        </w:rPr>
        <w:t>Przewodniczący parafuje każdą stronę protokołu.</w:t>
      </w:r>
    </w:p>
    <w:p w:rsidR="00E3461C" w:rsidRDefault="00E3461C" w:rsidP="00E3461C">
      <w:pPr>
        <w:spacing w:after="0" w:line="360" w:lineRule="auto"/>
        <w:jc w:val="center"/>
        <w:rPr>
          <w:rFonts w:ascii="Times New Roman" w:hAnsi="Times New Roman"/>
          <w:sz w:val="24"/>
          <w:szCs w:val="24"/>
        </w:rPr>
      </w:pPr>
      <w:r>
        <w:rPr>
          <w:rFonts w:ascii="Times New Roman" w:hAnsi="Times New Roman"/>
          <w:bCs/>
          <w:sz w:val="24"/>
          <w:szCs w:val="24"/>
        </w:rPr>
        <w:t>§ 11</w:t>
      </w:r>
    </w:p>
    <w:p w:rsidR="00E3461C" w:rsidRDefault="00E3461C" w:rsidP="00E3461C">
      <w:pPr>
        <w:spacing w:after="0" w:line="360" w:lineRule="auto"/>
        <w:jc w:val="both"/>
        <w:rPr>
          <w:rFonts w:ascii="Times New Roman" w:hAnsi="Times New Roman"/>
          <w:sz w:val="24"/>
          <w:szCs w:val="24"/>
        </w:rPr>
      </w:pPr>
      <w:r>
        <w:rPr>
          <w:rFonts w:ascii="Times New Roman" w:hAnsi="Times New Roman"/>
          <w:sz w:val="24"/>
          <w:szCs w:val="24"/>
        </w:rPr>
        <w:t>Wszystkie dokumenty z posiedzeń Komisji przechowywane są przez pracownika administracji wyznaczonego do obsługi Komisji.</w:t>
      </w:r>
    </w:p>
    <w:p w:rsidR="00E3461C" w:rsidRDefault="00E3461C" w:rsidP="00E3461C">
      <w:pPr>
        <w:spacing w:after="0" w:line="360" w:lineRule="auto"/>
        <w:jc w:val="center"/>
        <w:rPr>
          <w:rFonts w:ascii="Times New Roman" w:hAnsi="Times New Roman"/>
          <w:sz w:val="24"/>
          <w:szCs w:val="24"/>
        </w:rPr>
      </w:pPr>
      <w:r>
        <w:rPr>
          <w:rFonts w:ascii="Times New Roman" w:hAnsi="Times New Roman"/>
          <w:bCs/>
          <w:sz w:val="24"/>
          <w:szCs w:val="24"/>
        </w:rPr>
        <w:t>§ 12</w:t>
      </w:r>
    </w:p>
    <w:p w:rsidR="00E3461C" w:rsidRDefault="00E3461C" w:rsidP="00E3461C">
      <w:pPr>
        <w:spacing w:after="0" w:line="360" w:lineRule="auto"/>
        <w:jc w:val="both"/>
        <w:rPr>
          <w:rFonts w:ascii="Times New Roman" w:hAnsi="Times New Roman"/>
          <w:spacing w:val="-4"/>
          <w:sz w:val="24"/>
          <w:szCs w:val="24"/>
        </w:rPr>
      </w:pPr>
      <w:r>
        <w:rPr>
          <w:rFonts w:ascii="Times New Roman" w:hAnsi="Times New Roman"/>
          <w:spacing w:val="-4"/>
          <w:sz w:val="24"/>
          <w:szCs w:val="24"/>
        </w:rPr>
        <w:t>Protokoły z posiedzeń Komisji lub Zespołu (w tym ich kserokopie) są udostępniane za zgodą Rektora.</w:t>
      </w:r>
    </w:p>
    <w:p w:rsidR="00E3461C" w:rsidRDefault="00E3461C" w:rsidP="00E3461C">
      <w:pPr>
        <w:spacing w:after="0" w:line="360" w:lineRule="auto"/>
        <w:jc w:val="center"/>
        <w:rPr>
          <w:rFonts w:ascii="Times New Roman" w:hAnsi="Times New Roman"/>
          <w:sz w:val="24"/>
          <w:szCs w:val="24"/>
        </w:rPr>
      </w:pPr>
      <w:r>
        <w:rPr>
          <w:rFonts w:ascii="Times New Roman" w:hAnsi="Times New Roman"/>
          <w:bCs/>
          <w:sz w:val="24"/>
          <w:szCs w:val="24"/>
        </w:rPr>
        <w:t>§ 13</w:t>
      </w:r>
    </w:p>
    <w:p w:rsidR="00E3461C" w:rsidRDefault="00E3461C" w:rsidP="00E3461C">
      <w:pPr>
        <w:spacing w:after="0" w:line="360" w:lineRule="auto"/>
        <w:jc w:val="both"/>
        <w:rPr>
          <w:rFonts w:ascii="Times New Roman" w:hAnsi="Times New Roman"/>
          <w:bCs/>
          <w:sz w:val="24"/>
          <w:szCs w:val="24"/>
        </w:rPr>
      </w:pPr>
      <w:r>
        <w:rPr>
          <w:rFonts w:ascii="Times New Roman" w:hAnsi="Times New Roman"/>
          <w:sz w:val="24"/>
          <w:szCs w:val="24"/>
        </w:rPr>
        <w:t>Przewodniczący Komisji składa Rektorowi coroczne sprawozdanie z prac Komisji, w terminie do 31 stycznia roku następującego po roku sprawozdawczym.</w:t>
      </w:r>
      <w:r>
        <w:rPr>
          <w:rFonts w:ascii="Times New Roman" w:hAnsi="Times New Roman"/>
          <w:bCs/>
          <w:sz w:val="24"/>
          <w:szCs w:val="24"/>
        </w:rPr>
        <w:t xml:space="preserve"> </w:t>
      </w:r>
    </w:p>
    <w:p w:rsidR="00E3461C" w:rsidRDefault="00E3461C" w:rsidP="00E3461C"/>
    <w:p w:rsidR="00E3461C" w:rsidRDefault="00E3461C" w:rsidP="00E3461C"/>
    <w:p w:rsidR="00526FFC" w:rsidRDefault="00526FFC"/>
    <w:sectPr w:rsidR="00526FFC" w:rsidSect="00C31673">
      <w:pgSz w:w="11906" w:h="16838"/>
      <w:pgMar w:top="1247"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7921"/>
    <w:multiLevelType w:val="hybridMultilevel"/>
    <w:tmpl w:val="4D0C1F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CFF5303"/>
    <w:multiLevelType w:val="hybridMultilevel"/>
    <w:tmpl w:val="63B0C5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D262BD8"/>
    <w:multiLevelType w:val="hybridMultilevel"/>
    <w:tmpl w:val="8EB077A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
    <w:nsid w:val="1BBE7DA4"/>
    <w:multiLevelType w:val="hybridMultilevel"/>
    <w:tmpl w:val="BC128AA2"/>
    <w:lvl w:ilvl="0" w:tplc="0415000F">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4">
    <w:nsid w:val="2A387148"/>
    <w:multiLevelType w:val="hybridMultilevel"/>
    <w:tmpl w:val="61AC81F6"/>
    <w:lvl w:ilvl="0" w:tplc="5CF2445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39216490"/>
    <w:multiLevelType w:val="hybridMultilevel"/>
    <w:tmpl w:val="8616778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
    <w:nsid w:val="3EBF62E0"/>
    <w:multiLevelType w:val="hybridMultilevel"/>
    <w:tmpl w:val="202216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4AE91D12"/>
    <w:multiLevelType w:val="hybridMultilevel"/>
    <w:tmpl w:val="075A6AA0"/>
    <w:lvl w:ilvl="0" w:tplc="6E96CA2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64653C1D"/>
    <w:multiLevelType w:val="hybridMultilevel"/>
    <w:tmpl w:val="672A211C"/>
    <w:lvl w:ilvl="0" w:tplc="AE9E772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BEA09DB"/>
    <w:multiLevelType w:val="hybridMultilevel"/>
    <w:tmpl w:val="7FE60914"/>
    <w:lvl w:ilvl="0" w:tplc="E1701C64">
      <w:start w:val="1"/>
      <w:numFmt w:val="decimal"/>
      <w:lvlText w:val="%1."/>
      <w:lvlJc w:val="left"/>
      <w:pPr>
        <w:ind w:left="720" w:hanging="360"/>
      </w:pPr>
      <w:rPr>
        <w:rFonts w:ascii="Times New Roman" w:eastAsia="Times New Roman" w:hAnsi="Times New Roman" w:cs="Times New Roman"/>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61C"/>
    <w:rsid w:val="00526FFC"/>
    <w:rsid w:val="006F22E9"/>
    <w:rsid w:val="00E346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461C"/>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346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461C"/>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346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773</Words>
  <Characters>4640</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JTarnas</dc:creator>
  <cp:keywords/>
  <dc:description/>
  <cp:lastModifiedBy>MKrystyniak</cp:lastModifiedBy>
  <cp:revision>2</cp:revision>
  <dcterms:created xsi:type="dcterms:W3CDTF">2020-12-07T07:44:00Z</dcterms:created>
  <dcterms:modified xsi:type="dcterms:W3CDTF">2020-12-22T12:34:00Z</dcterms:modified>
</cp:coreProperties>
</file>